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23" w:rsidRDefault="00C01023" w:rsidP="00C0102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C01023" w:rsidRDefault="00C01023" w:rsidP="00C0102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 результатах контрольного мероприятия "Проверка</w:t>
      </w:r>
    </w:p>
    <w:p w:rsidR="00C01023" w:rsidRDefault="00C01023" w:rsidP="00C0102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Целевого и эффективного использования средств краевого бюджета, предоставленных на Подпрограмму № 2 "Развитие водохозяйственного комплекса Приморского края" государственной программы Приморского края "Охрана окружающей среды Приморского края на 2013-2020 годы" за 2016-2017 годы и истекший период 2018 года</w:t>
      </w:r>
    </w:p>
    <w:p w:rsidR="00C01023" w:rsidRPr="00785121" w:rsidRDefault="00C01023" w:rsidP="00C01023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C01023" w:rsidRPr="00821BE6" w:rsidRDefault="00C01023" w:rsidP="00C01023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F22BF0">
        <w:rPr>
          <w:szCs w:val="28"/>
        </w:rPr>
        <w:t xml:space="preserve"> </w:t>
      </w:r>
      <w:r w:rsidRPr="00786B80">
        <w:rPr>
          <w:szCs w:val="28"/>
        </w:rPr>
        <w:t>департамент</w:t>
      </w:r>
      <w:r>
        <w:rPr>
          <w:szCs w:val="28"/>
        </w:rPr>
        <w:t>е</w:t>
      </w:r>
      <w:r w:rsidRPr="00786B80">
        <w:rPr>
          <w:szCs w:val="28"/>
        </w:rPr>
        <w:t xml:space="preserve"> природных ресурсов и охраны окружающей  среды</w:t>
      </w:r>
      <w:r w:rsidRPr="00786B80">
        <w:rPr>
          <w:b/>
          <w:szCs w:val="28"/>
        </w:rPr>
        <w:t xml:space="preserve"> </w:t>
      </w:r>
      <w:r w:rsidRPr="00786B80">
        <w:rPr>
          <w:szCs w:val="28"/>
        </w:rPr>
        <w:t xml:space="preserve">Приморского края (далее – </w:t>
      </w:r>
      <w:r>
        <w:rPr>
          <w:szCs w:val="28"/>
        </w:rPr>
        <w:t>д</w:t>
      </w:r>
      <w:r w:rsidRPr="00786B80">
        <w:rPr>
          <w:szCs w:val="28"/>
        </w:rPr>
        <w:t>епартамент) проведено контрольное мероприятие "Проверка целевого и эффективного использования средств краевого бюджета, предо</w:t>
      </w:r>
      <w:r>
        <w:rPr>
          <w:szCs w:val="28"/>
        </w:rPr>
        <w:t>ставленных на П</w:t>
      </w:r>
      <w:r w:rsidRPr="00786B80">
        <w:rPr>
          <w:szCs w:val="28"/>
        </w:rPr>
        <w:t>одпрограмму № 2 "Развит</w:t>
      </w:r>
      <w:r>
        <w:rPr>
          <w:szCs w:val="28"/>
        </w:rPr>
        <w:t>ие водохозяйственного комплекса</w:t>
      </w:r>
      <w:r w:rsidRPr="00786B80">
        <w:rPr>
          <w:szCs w:val="28"/>
        </w:rPr>
        <w:t xml:space="preserve"> Приморского края" государственной </w:t>
      </w:r>
      <w:hyperlink r:id="rId4" w:history="1">
        <w:r w:rsidRPr="00786B80">
          <w:rPr>
            <w:szCs w:val="28"/>
          </w:rPr>
          <w:t>программы</w:t>
        </w:r>
      </w:hyperlink>
      <w:r w:rsidRPr="00786B80">
        <w:rPr>
          <w:szCs w:val="28"/>
        </w:rPr>
        <w:t xml:space="preserve"> Приморского края "Охрана окружающей среды Приморского края на 2013 - 2020 годы" (далее – Подпрограмма № 2)</w:t>
      </w:r>
      <w:r>
        <w:rPr>
          <w:szCs w:val="28"/>
        </w:rPr>
        <w:t xml:space="preserve"> за 2016 -</w:t>
      </w:r>
      <w:r w:rsidRPr="00821BE6">
        <w:rPr>
          <w:szCs w:val="28"/>
        </w:rPr>
        <w:t xml:space="preserve"> 2017 годы</w:t>
      </w:r>
      <w:r>
        <w:rPr>
          <w:szCs w:val="28"/>
        </w:rPr>
        <w:t xml:space="preserve"> и истекший период 2018 года</w:t>
      </w:r>
      <w:r w:rsidRPr="00821BE6">
        <w:rPr>
          <w:szCs w:val="28"/>
        </w:rPr>
        <w:t>.</w:t>
      </w:r>
      <w:r>
        <w:rPr>
          <w:szCs w:val="28"/>
        </w:rPr>
        <w:t xml:space="preserve"> Контрольное мероприятие проведено в соответствии с пунктом 2.7.2 плана работы Контрольно-счётной палаты Приморского края на 2018 год в период с 16.04.2018 по 31.05.2018.</w:t>
      </w:r>
    </w:p>
    <w:p w:rsidR="00C01023" w:rsidRPr="00623288" w:rsidRDefault="00C01023" w:rsidP="00C01023">
      <w:pPr>
        <w:ind w:firstLine="709"/>
        <w:jc w:val="both"/>
        <w:rPr>
          <w:szCs w:val="28"/>
        </w:rPr>
      </w:pPr>
      <w:r w:rsidRPr="00786B80">
        <w:rPr>
          <w:szCs w:val="28"/>
        </w:rPr>
        <w:t xml:space="preserve">В результате вышеуказанного контрольного мероприятия установлено </w:t>
      </w:r>
      <w:r w:rsidRPr="00623288">
        <w:rPr>
          <w:szCs w:val="28"/>
        </w:rPr>
        <w:t>следующее.</w:t>
      </w:r>
    </w:p>
    <w:p w:rsidR="00C01023" w:rsidRPr="00623288" w:rsidRDefault="00C01023" w:rsidP="00C010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23288">
        <w:rPr>
          <w:rFonts w:eastAsia="Calibri"/>
          <w:szCs w:val="28"/>
          <w:lang w:eastAsia="en-US"/>
        </w:rPr>
        <w:t>За 2016-2017 годы по двум мероприятиям Подпрограммы № 2 не освоены бюджетные средства на общую сумму 93,6 млн рублей, из них:</w:t>
      </w:r>
    </w:p>
    <w:p w:rsidR="00C01023" w:rsidRPr="00623288" w:rsidRDefault="00C01023" w:rsidP="00C010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3288">
        <w:rPr>
          <w:rFonts w:eastAsia="Calibri"/>
          <w:szCs w:val="28"/>
          <w:lang w:eastAsia="en-US"/>
        </w:rPr>
        <w:t xml:space="preserve">по </w:t>
      </w:r>
      <w:r w:rsidRPr="00623288">
        <w:rPr>
          <w:szCs w:val="28"/>
        </w:rPr>
        <w:t xml:space="preserve">мероприятию 1 "Развитие водохозяйственного комплекса" </w:t>
      </w:r>
      <w:r w:rsidRPr="00623288">
        <w:rPr>
          <w:rFonts w:eastAsia="Calibri"/>
          <w:szCs w:val="28"/>
          <w:lang w:eastAsia="en-US"/>
        </w:rPr>
        <w:t xml:space="preserve">не освоено 69,3 млн рублей, в том числе </w:t>
      </w:r>
      <w:r w:rsidRPr="00623288">
        <w:rPr>
          <w:szCs w:val="28"/>
        </w:rPr>
        <w:t>соисполнителем государственной программы – департаментом градостроительства Приморского края не освоено 56,7 млн рублей;</w:t>
      </w:r>
    </w:p>
    <w:p w:rsidR="00C01023" w:rsidRPr="00623288" w:rsidRDefault="00C01023" w:rsidP="00C01023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623288">
        <w:rPr>
          <w:szCs w:val="28"/>
        </w:rPr>
        <w:t>по мероприятию 2</w:t>
      </w:r>
      <w:r w:rsidRPr="00623288">
        <w:rPr>
          <w:rFonts w:eastAsia="Calibri"/>
          <w:szCs w:val="28"/>
          <w:lang w:eastAsia="en-US"/>
        </w:rPr>
        <w:t xml:space="preserve"> "</w:t>
      </w:r>
      <w:r w:rsidRPr="00623288">
        <w:rPr>
          <w:iCs/>
          <w:color w:val="000000"/>
          <w:szCs w:val="28"/>
        </w:rPr>
        <w:t>Реализация переданных полномочий в области водных отношений"</w:t>
      </w:r>
      <w:r w:rsidRPr="00623288">
        <w:rPr>
          <w:szCs w:val="28"/>
        </w:rPr>
        <w:t xml:space="preserve"> не освоено </w:t>
      </w:r>
      <w:r w:rsidRPr="00623288">
        <w:rPr>
          <w:rFonts w:eastAsia="Calibri"/>
          <w:szCs w:val="28"/>
          <w:lang w:eastAsia="en-US"/>
        </w:rPr>
        <w:t>24,3 млн рублей.</w:t>
      </w:r>
      <w:r w:rsidRPr="00623288">
        <w:rPr>
          <w:iCs/>
          <w:szCs w:val="28"/>
        </w:rPr>
        <w:t xml:space="preserve"> </w:t>
      </w:r>
    </w:p>
    <w:p w:rsidR="00C01023" w:rsidRPr="00623288" w:rsidRDefault="00C01023" w:rsidP="00C0102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23288">
        <w:rPr>
          <w:rFonts w:eastAsia="Calibri"/>
          <w:szCs w:val="28"/>
          <w:lang w:eastAsia="en-US"/>
        </w:rPr>
        <w:t xml:space="preserve">Неисполнение мероприятий Подпрограммы № 2 произошло в основном в результате расторжения контрактов по причине </w:t>
      </w:r>
      <w:r w:rsidRPr="00623288">
        <w:rPr>
          <w:szCs w:val="28"/>
        </w:rPr>
        <w:t>ненадлежащего исполнения подрядчиками своих обязательств.</w:t>
      </w:r>
    </w:p>
    <w:p w:rsidR="00C01023" w:rsidRPr="00786B80" w:rsidRDefault="00C01023" w:rsidP="00C010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3288">
        <w:rPr>
          <w:szCs w:val="28"/>
        </w:rPr>
        <w:t xml:space="preserve">При проверке исполнения государственных контрактов установлено неправомерное использование бюджетных средств в части принятия и оплаты без предоставления подтверждающих документов </w:t>
      </w:r>
      <w:r w:rsidRPr="006367EB">
        <w:rPr>
          <w:szCs w:val="28"/>
        </w:rPr>
        <w:t>непредвиденных затрат</w:t>
      </w:r>
      <w:r w:rsidRPr="00623288">
        <w:rPr>
          <w:szCs w:val="28"/>
        </w:rPr>
        <w:t xml:space="preserve"> на общую сумму 251,94 тыс. рублей (за счет средств краевого бюджета 251,456 тыс. рублей,</w:t>
      </w:r>
      <w:r>
        <w:rPr>
          <w:szCs w:val="28"/>
        </w:rPr>
        <w:t xml:space="preserve"> за счет средств местного бюджета 0,484 тыс. рублей)</w:t>
      </w:r>
      <w:r w:rsidRPr="00786B80">
        <w:rPr>
          <w:szCs w:val="28"/>
        </w:rPr>
        <w:t>.</w:t>
      </w:r>
      <w:r>
        <w:rPr>
          <w:szCs w:val="28"/>
        </w:rPr>
        <w:t xml:space="preserve"> Оплата непредвиденных затрат</w:t>
      </w:r>
      <w:r w:rsidRPr="002477C9">
        <w:rPr>
          <w:szCs w:val="28"/>
        </w:rPr>
        <w:t xml:space="preserve"> </w:t>
      </w:r>
      <w:r>
        <w:rPr>
          <w:szCs w:val="28"/>
        </w:rPr>
        <w:t>произведена в</w:t>
      </w:r>
      <w:r w:rsidRPr="00CD2A69">
        <w:rPr>
          <w:szCs w:val="28"/>
        </w:rPr>
        <w:t xml:space="preserve"> </w:t>
      </w:r>
      <w:r>
        <w:rPr>
          <w:szCs w:val="28"/>
        </w:rPr>
        <w:t xml:space="preserve">нарушение </w:t>
      </w:r>
      <w:r w:rsidRPr="00CD2A69">
        <w:rPr>
          <w:szCs w:val="28"/>
        </w:rPr>
        <w:t>Мето</w:t>
      </w:r>
      <w:r>
        <w:rPr>
          <w:szCs w:val="28"/>
        </w:rPr>
        <w:t>дики</w:t>
      </w:r>
      <w:r w:rsidRPr="00CD2A69">
        <w:rPr>
          <w:szCs w:val="28"/>
        </w:rPr>
        <w:t xml:space="preserve"> определения стоимости строительной продукции на территории Российской Федерации, утвержденной постановлением Г</w:t>
      </w:r>
      <w:r>
        <w:rPr>
          <w:szCs w:val="28"/>
        </w:rPr>
        <w:t xml:space="preserve">осстроя России, и условий </w:t>
      </w:r>
      <w:r w:rsidRPr="00CD2A69">
        <w:rPr>
          <w:szCs w:val="28"/>
        </w:rPr>
        <w:t>государственных контрактов</w:t>
      </w:r>
      <w:r>
        <w:rPr>
          <w:szCs w:val="28"/>
        </w:rPr>
        <w:t>.</w:t>
      </w:r>
    </w:p>
    <w:p w:rsidR="00C01023" w:rsidRPr="009A2677" w:rsidRDefault="00C01023" w:rsidP="00C010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П</w:t>
      </w:r>
      <w:r w:rsidRPr="00786B80">
        <w:rPr>
          <w:snapToGrid w:val="0"/>
          <w:szCs w:val="28"/>
        </w:rPr>
        <w:t xml:space="preserve">о результатам указанного контрольного мероприятия Контрольно-счетной палатой внесено представление в </w:t>
      </w:r>
      <w:r w:rsidRPr="00786B80">
        <w:rPr>
          <w:szCs w:val="28"/>
        </w:rPr>
        <w:t>департамент природных ресурсов и охраны окружающей среды</w:t>
      </w:r>
      <w:r w:rsidRPr="00786B80">
        <w:rPr>
          <w:b/>
          <w:szCs w:val="28"/>
        </w:rPr>
        <w:t xml:space="preserve"> </w:t>
      </w:r>
      <w:r w:rsidRPr="00786B80">
        <w:rPr>
          <w:szCs w:val="28"/>
        </w:rPr>
        <w:t>Приморского края</w:t>
      </w:r>
      <w:r>
        <w:rPr>
          <w:szCs w:val="28"/>
        </w:rPr>
        <w:t xml:space="preserve"> с предложением </w:t>
      </w:r>
      <w:r w:rsidRPr="00776AB1">
        <w:rPr>
          <w:szCs w:val="28"/>
        </w:rPr>
        <w:t xml:space="preserve">принять меры, </w:t>
      </w:r>
      <w:r w:rsidRPr="00776AB1">
        <w:rPr>
          <w:szCs w:val="28"/>
        </w:rPr>
        <w:lastRenderedPageBreak/>
        <w:t>направленные на</w:t>
      </w:r>
      <w:r>
        <w:rPr>
          <w:szCs w:val="28"/>
        </w:rPr>
        <w:t xml:space="preserve"> возврат в краевой бюджет неправомерно использованных</w:t>
      </w:r>
      <w:r w:rsidRPr="00CD2A69">
        <w:rPr>
          <w:szCs w:val="28"/>
        </w:rPr>
        <w:t xml:space="preserve"> бюджетных средств</w:t>
      </w:r>
      <w:r>
        <w:rPr>
          <w:szCs w:val="28"/>
        </w:rPr>
        <w:t xml:space="preserve"> в сумме 251,456 тыс. </w:t>
      </w:r>
      <w:r w:rsidRPr="009A2677">
        <w:rPr>
          <w:szCs w:val="28"/>
        </w:rPr>
        <w:t>рублей.</w:t>
      </w:r>
    </w:p>
    <w:p w:rsidR="00C01023" w:rsidRPr="00786B80" w:rsidRDefault="00C01023" w:rsidP="00C01023">
      <w:pPr>
        <w:ind w:firstLine="709"/>
        <w:jc w:val="both"/>
        <w:rPr>
          <w:szCs w:val="28"/>
        </w:rPr>
      </w:pPr>
    </w:p>
    <w:p w:rsidR="0015432D" w:rsidRDefault="0015432D">
      <w:bookmarkStart w:id="0" w:name="_GoBack"/>
      <w:bookmarkEnd w:id="0"/>
    </w:p>
    <w:sectPr w:rsidR="0015432D" w:rsidSect="00374061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4961"/>
      <w:docPartObj>
        <w:docPartGallery w:val="Page Numbers (Top of Page)"/>
        <w:docPartUnique/>
      </w:docPartObj>
    </w:sdtPr>
    <w:sdtEndPr/>
    <w:sdtContent>
      <w:p w:rsidR="00374061" w:rsidRDefault="00C010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4061" w:rsidRDefault="00C010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69"/>
    <w:rsid w:val="0015432D"/>
    <w:rsid w:val="003C2B57"/>
    <w:rsid w:val="0092172C"/>
    <w:rsid w:val="00C01023"/>
    <w:rsid w:val="00C27536"/>
    <w:rsid w:val="00D43AC0"/>
    <w:rsid w:val="00D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F048B-DC92-4E61-878C-2D4B3E0F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0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0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B37845017AD3EB5E1B63893358632FD876D902137DA18F6AF689F4E1A04767E8E52D044DD091B24FE6809233QB3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2</cp:revision>
  <dcterms:created xsi:type="dcterms:W3CDTF">2018-07-16T00:07:00Z</dcterms:created>
  <dcterms:modified xsi:type="dcterms:W3CDTF">2018-07-16T00:07:00Z</dcterms:modified>
</cp:coreProperties>
</file>