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88E" w:rsidRDefault="0090788E" w:rsidP="0090788E">
      <w:pPr>
        <w:jc w:val="center"/>
        <w:rPr>
          <w:b/>
          <w:szCs w:val="28"/>
        </w:rPr>
      </w:pPr>
      <w:r>
        <w:rPr>
          <w:b/>
          <w:szCs w:val="28"/>
        </w:rPr>
        <w:t>Информация</w:t>
      </w:r>
    </w:p>
    <w:p w:rsidR="0090788E" w:rsidRDefault="0090788E" w:rsidP="0090788E">
      <w:pPr>
        <w:pBdr>
          <w:bottom w:val="single" w:sz="12" w:space="1" w:color="auto"/>
        </w:pBdr>
        <w:ind w:firstLine="709"/>
        <w:contextualSpacing/>
        <w:jc w:val="center"/>
        <w:rPr>
          <w:rFonts w:eastAsia="Calibri"/>
          <w:b/>
          <w:szCs w:val="28"/>
        </w:rPr>
      </w:pPr>
      <w:r>
        <w:rPr>
          <w:b/>
          <w:szCs w:val="28"/>
        </w:rPr>
        <w:t xml:space="preserve">о проведении </w:t>
      </w:r>
      <w:r w:rsidRPr="0090788E">
        <w:rPr>
          <w:b/>
          <w:szCs w:val="28"/>
        </w:rPr>
        <w:t>Внешняя проверка бюджетной отчетности главных администраторов бюджетных средств краевого бюджета</w:t>
      </w:r>
    </w:p>
    <w:p w:rsidR="005F5515" w:rsidRDefault="005F5515" w:rsidP="0090788E">
      <w:pPr>
        <w:rPr>
          <w:rFonts w:eastAsia="Calibri"/>
          <w:b/>
          <w:szCs w:val="28"/>
        </w:rPr>
      </w:pPr>
    </w:p>
    <w:p w:rsidR="005F5515" w:rsidRDefault="005F5515" w:rsidP="0090788E">
      <w:pPr>
        <w:rPr>
          <w:rFonts w:eastAsia="Calibri"/>
          <w:b/>
          <w:szCs w:val="28"/>
        </w:rPr>
      </w:pPr>
    </w:p>
    <w:p w:rsidR="005F5515" w:rsidRDefault="005F5515" w:rsidP="0090788E">
      <w:pPr>
        <w:rPr>
          <w:rFonts w:eastAsia="Calibri"/>
          <w:b/>
          <w:szCs w:val="28"/>
        </w:rPr>
      </w:pPr>
    </w:p>
    <w:p w:rsidR="005F5515" w:rsidRDefault="005F5515" w:rsidP="0090788E">
      <w:pPr>
        <w:rPr>
          <w:rFonts w:eastAsia="Calibri"/>
          <w:b/>
          <w:szCs w:val="28"/>
        </w:rPr>
      </w:pPr>
    </w:p>
    <w:p w:rsidR="005F5515" w:rsidRPr="00005FB1" w:rsidRDefault="005F5515" w:rsidP="005F5515">
      <w:pPr>
        <w:jc w:val="center"/>
        <w:rPr>
          <w:b/>
          <w:szCs w:val="28"/>
        </w:rPr>
      </w:pPr>
      <w:r w:rsidRPr="00005FB1">
        <w:rPr>
          <w:b/>
          <w:szCs w:val="28"/>
        </w:rPr>
        <w:t xml:space="preserve">Результаты камеральных внешних проверок </w:t>
      </w:r>
    </w:p>
    <w:p w:rsidR="005F5515" w:rsidRPr="00005FB1" w:rsidRDefault="005F5515" w:rsidP="005F5515">
      <w:pPr>
        <w:jc w:val="center"/>
        <w:rPr>
          <w:b/>
          <w:szCs w:val="28"/>
        </w:rPr>
      </w:pPr>
      <w:r w:rsidRPr="00005FB1">
        <w:rPr>
          <w:b/>
          <w:szCs w:val="28"/>
        </w:rPr>
        <w:t>бюджетной отчетности главных администраторов средств краевого бюджета за 2021 год</w:t>
      </w:r>
    </w:p>
    <w:p w:rsidR="005F5515" w:rsidRPr="00005FB1" w:rsidRDefault="005F5515" w:rsidP="005F5515">
      <w:pPr>
        <w:ind w:firstLine="720"/>
        <w:jc w:val="both"/>
        <w:rPr>
          <w:szCs w:val="28"/>
          <w:lang w:eastAsia="x-none"/>
        </w:rPr>
      </w:pPr>
      <w:r w:rsidRPr="00005FB1">
        <w:rPr>
          <w:szCs w:val="28"/>
          <w:lang w:eastAsia="x-none"/>
        </w:rPr>
        <w:t>В соответствии со статьей 264.4 Бюджетного кодекса Российской Федерации, статьей 111(1) Закона Приморского края от 02.08.2005 № 271-КЗ "О бюджетном устройстве, бюджетном процессе и межбюджетных отношениях в Приморском крае" экспертное заключение Контрольно-счетной палатой подготовлено с учетом данных внешних камеральных проверок бюджетной отчетности ГАБС за 2021 год.</w:t>
      </w:r>
    </w:p>
    <w:p w:rsidR="005F5515" w:rsidRPr="00005FB1" w:rsidRDefault="005F5515" w:rsidP="005F5515">
      <w:pPr>
        <w:ind w:firstLine="720"/>
        <w:jc w:val="both"/>
        <w:rPr>
          <w:szCs w:val="28"/>
          <w:lang w:eastAsia="x-none"/>
        </w:rPr>
      </w:pPr>
      <w:r w:rsidRPr="00005FB1">
        <w:rPr>
          <w:szCs w:val="28"/>
          <w:lang w:eastAsia="x-none"/>
        </w:rPr>
        <w:t>Проведено 44 контрольных мероприятия в региональных государственных органах, которые проверены как главные администраторы доходов краевого бюджета, главные распорядители бюджетных средств, в том числе двух, являющихся главными администраторами источников финансирования дефицита краевого бюджета. По результатам внешних проверок составлено 44 акта.</w:t>
      </w:r>
    </w:p>
    <w:p w:rsidR="005F5515" w:rsidRPr="00005FB1" w:rsidRDefault="005F5515" w:rsidP="005F5515">
      <w:pPr>
        <w:widowControl w:val="0"/>
        <w:autoSpaceDE w:val="0"/>
        <w:autoSpaceDN w:val="0"/>
        <w:adjustRightInd w:val="0"/>
        <w:ind w:firstLine="720"/>
        <w:jc w:val="both"/>
        <w:rPr>
          <w:szCs w:val="28"/>
          <w:lang w:eastAsia="x-none"/>
        </w:rPr>
      </w:pPr>
      <w:r w:rsidRPr="00005FB1">
        <w:rPr>
          <w:szCs w:val="28"/>
          <w:lang w:eastAsia="x-none"/>
        </w:rPr>
        <w:t xml:space="preserve">В Контрольно-счетную палату всеми ГАБС годовая бюджетная отчетность за отчетный год предоставлена на бумажных и электронных носителях без нарушения условий и сроков, установленных абзацем 2 пункта 2 статьи 111(1) Закона Приморского края от 02.08.2005 № 271-КЗ "О бюджетном устройстве, бюджетном процессе и межбюджетных отношениях в Приморском крае" в составе отчетных форм, установленных Инструкцией № 191н. </w:t>
      </w:r>
    </w:p>
    <w:p w:rsidR="005F5515" w:rsidRPr="00005FB1" w:rsidRDefault="005F5515" w:rsidP="005F5515">
      <w:pPr>
        <w:widowControl w:val="0"/>
        <w:autoSpaceDE w:val="0"/>
        <w:autoSpaceDN w:val="0"/>
        <w:adjustRightInd w:val="0"/>
        <w:ind w:firstLine="720"/>
        <w:jc w:val="both"/>
        <w:rPr>
          <w:szCs w:val="28"/>
          <w:lang w:eastAsia="x-none"/>
        </w:rPr>
      </w:pPr>
      <w:r w:rsidRPr="00005FB1">
        <w:rPr>
          <w:szCs w:val="28"/>
          <w:lang w:eastAsia="x-none"/>
        </w:rPr>
        <w:t>Учитывая положения пункта 5 Инструкции № 191н, в ходе проведения контрольных мероприятий приняты во внимание рекомендации, изложенные в письмах министерства финансов Приморского края от 28.12.2021 № 28-08-02-654/4163, от 30.12.2021 № 02-06-07/108267 "О предоставлении отчетности за 2021 год", а также положения совместного письма министерства финансов Российской Федерации и Федерального казначейства от 30.12.2021 № 02-06-07/108105 от 30.12.2021, № 07-04-05/02-33040.</w:t>
      </w:r>
    </w:p>
    <w:p w:rsidR="005F5515" w:rsidRPr="00005FB1" w:rsidRDefault="005F5515" w:rsidP="005F5515">
      <w:pPr>
        <w:ind w:firstLine="720"/>
        <w:jc w:val="both"/>
        <w:rPr>
          <w:szCs w:val="28"/>
          <w:lang w:eastAsia="x-none"/>
        </w:rPr>
      </w:pPr>
      <w:r w:rsidRPr="00005FB1">
        <w:rPr>
          <w:szCs w:val="28"/>
          <w:lang w:eastAsia="x-none"/>
        </w:rPr>
        <w:t xml:space="preserve">В целях установления достоверности годовой бюджетной отчетности ГАБС за 2021 год и годового отчета об исполнении краевого бюджета на 01.01.2022 в ходе проведения камеральных внешних проверок ГАБС Контрольно-счетной палатой проведена сверка соответствующих показателей по доходам и источникам внутреннего финансирования дефицита краевого бюджета, администрируемым ГАБС; по осуществленным ими расходам (в том числе погашение бюджетных кредитов) и соответствующих показателей в </w:t>
      </w:r>
      <w:r w:rsidRPr="00005FB1">
        <w:rPr>
          <w:szCs w:val="28"/>
        </w:rPr>
        <w:t xml:space="preserve">сводной справке по операциям со средствами бюджета по состоянию на 01.01.2022 (приложение № 27 к Порядку, утвержденному Приказом </w:t>
      </w:r>
      <w:r w:rsidRPr="00005FB1">
        <w:rPr>
          <w:szCs w:val="28"/>
        </w:rPr>
        <w:lastRenderedPageBreak/>
        <w:t xml:space="preserve">Казначейства России от 14.05.2020 № 21н "О порядке казначейского обслуживания" (код формы по КФД 0531857) и сводной справке по операциям со средствами консолидированного бюджета по состоянию на 01.01.2022 (приложению № 28 к Порядку, утвержденному Приказом Казначейства России от 14.05.2020 № 21н (код формы по КФД 0531858), </w:t>
      </w:r>
      <w:r w:rsidRPr="00005FB1">
        <w:rPr>
          <w:szCs w:val="28"/>
          <w:lang w:eastAsia="x-none"/>
        </w:rPr>
        <w:t>предоставленных Контрольно-счетной палате в рамках Соглашения об информационном взаимодействии с УФК по Приморскому краю.</w:t>
      </w:r>
    </w:p>
    <w:p w:rsidR="005F5515" w:rsidRPr="00005FB1" w:rsidRDefault="005F5515" w:rsidP="005F5515">
      <w:pPr>
        <w:ind w:firstLine="708"/>
        <w:jc w:val="both"/>
        <w:rPr>
          <w:szCs w:val="28"/>
        </w:rPr>
      </w:pPr>
      <w:r w:rsidRPr="00005FB1">
        <w:rPr>
          <w:szCs w:val="28"/>
        </w:rPr>
        <w:t>В современных условиях бюджетный учет ГАБС автоматизирован на всех его этапах. Автоматизация бюджетного учета основывается на едином взаимосвязанном технологическом процессе обработки документации, что позволяет достичь достаточно высокого качества составления бюджетной отчетности ГАБС, что, соответственно, отражается на положительных итоговых результатах внешних проверок.</w:t>
      </w:r>
    </w:p>
    <w:p w:rsidR="005F5515" w:rsidRPr="00005FB1" w:rsidRDefault="005F5515" w:rsidP="005F5515">
      <w:pPr>
        <w:widowControl w:val="0"/>
        <w:autoSpaceDE w:val="0"/>
        <w:autoSpaceDN w:val="0"/>
        <w:adjustRightInd w:val="0"/>
        <w:ind w:firstLine="720"/>
        <w:jc w:val="both"/>
        <w:rPr>
          <w:szCs w:val="28"/>
          <w:lang w:eastAsia="x-none"/>
        </w:rPr>
      </w:pPr>
      <w:r w:rsidRPr="00005FB1">
        <w:rPr>
          <w:szCs w:val="28"/>
          <w:lang w:eastAsia="x-none"/>
        </w:rPr>
        <w:t>В ходе выборочных проверок соблюдения контрольных соотношений (увязки)</w:t>
      </w:r>
      <w:r w:rsidRPr="00005FB1">
        <w:rPr>
          <w:szCs w:val="28"/>
          <w:vertAlign w:val="superscript"/>
          <w:lang w:eastAsia="x-none"/>
        </w:rPr>
        <w:footnoteReference w:id="1"/>
      </w:r>
      <w:r w:rsidRPr="00005FB1">
        <w:rPr>
          <w:szCs w:val="28"/>
          <w:lang w:eastAsia="x-none"/>
        </w:rPr>
        <w:t xml:space="preserve"> между показателями форм бюджетной отчетности ГАБС расхождений Контрольно-счетной палатой не выявлено, соответствие взаимосвязанных показателей соблюдено.</w:t>
      </w:r>
    </w:p>
    <w:p w:rsidR="005F5515" w:rsidRPr="00005FB1" w:rsidRDefault="005F5515" w:rsidP="005F5515">
      <w:pPr>
        <w:ind w:firstLine="709"/>
        <w:jc w:val="both"/>
        <w:rPr>
          <w:szCs w:val="28"/>
          <w:lang w:eastAsia="x-none"/>
        </w:rPr>
      </w:pPr>
      <w:r w:rsidRPr="00005FB1">
        <w:rPr>
          <w:szCs w:val="28"/>
          <w:lang w:eastAsia="x-none"/>
        </w:rPr>
        <w:t>По итогам проведенных внешних проверок ГАБС факты неполноты и недостоверности показателей бюджетной отчетности в части исполнения ГАБС краевого бюджета не установлены. Данные отчета соответствуют суммарным показателям бюджетной отчетности ГАБС по соответствующим кодам бюджетной классификации, позволяющие сделать вывод о том, что отчет является полным и достоверным и может быть рекомендован Законодательному Собранию Приморского края к рассмотрению.</w:t>
      </w:r>
    </w:p>
    <w:p w:rsidR="005F5515" w:rsidRPr="00005FB1" w:rsidRDefault="005F5515" w:rsidP="005F5515">
      <w:pPr>
        <w:ind w:firstLine="720"/>
        <w:jc w:val="both"/>
        <w:rPr>
          <w:szCs w:val="28"/>
          <w:lang w:eastAsia="x-none"/>
        </w:rPr>
      </w:pPr>
      <w:r w:rsidRPr="00005FB1">
        <w:rPr>
          <w:szCs w:val="28"/>
        </w:rPr>
        <w:t xml:space="preserve">При проведении анализа содержания отчетных форм ГАБС Контрольно-счетной палатой </w:t>
      </w:r>
      <w:r w:rsidRPr="00005FB1">
        <w:rPr>
          <w:szCs w:val="28"/>
          <w:lang w:eastAsia="x-none"/>
        </w:rPr>
        <w:t xml:space="preserve">Инструкции 191н нарушения не установлены, а отдельные недостатки не влекут за собой внесения изменения в отчет об исполнении краевого бюджета за 2021 год. </w:t>
      </w:r>
      <w:bookmarkStart w:id="0" w:name="_GoBack"/>
      <w:bookmarkEnd w:id="0"/>
    </w:p>
    <w:sectPr w:rsidR="005F5515" w:rsidRPr="00005F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15" w:rsidRDefault="005F5515" w:rsidP="005F5515">
      <w:r>
        <w:separator/>
      </w:r>
    </w:p>
  </w:endnote>
  <w:endnote w:type="continuationSeparator" w:id="0">
    <w:p w:rsidR="005F5515" w:rsidRDefault="005F5515" w:rsidP="005F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15" w:rsidRDefault="005F5515" w:rsidP="005F5515">
      <w:r>
        <w:separator/>
      </w:r>
    </w:p>
  </w:footnote>
  <w:footnote w:type="continuationSeparator" w:id="0">
    <w:p w:rsidR="005F5515" w:rsidRDefault="005F5515" w:rsidP="005F5515">
      <w:r>
        <w:continuationSeparator/>
      </w:r>
    </w:p>
  </w:footnote>
  <w:footnote w:id="1">
    <w:p w:rsidR="005F5515" w:rsidRPr="005930C7" w:rsidRDefault="005F5515" w:rsidP="005F5515">
      <w:pPr>
        <w:pStyle w:val="a3"/>
        <w:jc w:val="both"/>
        <w:rPr>
          <w:sz w:val="24"/>
          <w:szCs w:val="24"/>
        </w:rPr>
      </w:pPr>
      <w:r w:rsidRPr="005930C7">
        <w:rPr>
          <w:rStyle w:val="a5"/>
          <w:sz w:val="24"/>
          <w:szCs w:val="24"/>
        </w:rPr>
        <w:footnoteRef/>
      </w:r>
      <w:r>
        <w:rPr>
          <w:sz w:val="24"/>
          <w:szCs w:val="24"/>
        </w:rPr>
        <w:t>"</w:t>
      </w:r>
      <w:r w:rsidRPr="005930C7">
        <w:rPr>
          <w:sz w:val="24"/>
          <w:szCs w:val="24"/>
        </w:rPr>
        <w:t xml:space="preserve">Контрольные соотношения для показателей форм бюджетной отчетности, представляемой территориальными органами Федерального казначейства" (версия на </w:t>
      </w:r>
      <w:r>
        <w:rPr>
          <w:sz w:val="24"/>
          <w:szCs w:val="24"/>
        </w:rPr>
        <w:t>0</w:t>
      </w:r>
      <w:r w:rsidRPr="005930C7">
        <w:rPr>
          <w:sz w:val="24"/>
          <w:szCs w:val="24"/>
        </w:rPr>
        <w:t>8</w:t>
      </w:r>
      <w:r>
        <w:rPr>
          <w:sz w:val="24"/>
          <w:szCs w:val="24"/>
        </w:rPr>
        <w:t>.02.</w:t>
      </w:r>
      <w:r w:rsidRPr="005930C7">
        <w:rPr>
          <w:sz w:val="24"/>
          <w:szCs w:val="24"/>
        </w:rPr>
        <w:t>2022</w:t>
      </w:r>
      <w:r>
        <w:rPr>
          <w:sz w:val="24"/>
          <w:szCs w:val="24"/>
        </w:rPr>
        <w:t>)</w:t>
      </w:r>
      <w:r w:rsidRPr="005930C7">
        <w:rPr>
          <w:sz w:val="24"/>
          <w:szCs w:val="24"/>
        </w:rPr>
        <w:t xml:space="preserve">. </w:t>
      </w:r>
      <w:r>
        <w:rPr>
          <w:sz w:val="24"/>
          <w:szCs w:val="24"/>
        </w:rPr>
        <w:t>Н</w:t>
      </w:r>
      <w:r w:rsidRPr="005930C7">
        <w:rPr>
          <w:sz w:val="24"/>
          <w:szCs w:val="24"/>
        </w:rPr>
        <w:t xml:space="preserve">есмотря на то, что документ ориентирован на главных администраторов средств федерального бюджета, </w:t>
      </w:r>
      <w:r>
        <w:rPr>
          <w:sz w:val="24"/>
          <w:szCs w:val="24"/>
        </w:rPr>
        <w:t xml:space="preserve">в значительной степени </w:t>
      </w:r>
      <w:r w:rsidRPr="005930C7">
        <w:rPr>
          <w:sz w:val="24"/>
          <w:szCs w:val="24"/>
        </w:rPr>
        <w:t xml:space="preserve">он является общим для бюджетной отчетности </w:t>
      </w:r>
      <w:r>
        <w:rPr>
          <w:sz w:val="24"/>
          <w:szCs w:val="24"/>
        </w:rPr>
        <w:t xml:space="preserve">государственных </w:t>
      </w:r>
      <w:r w:rsidRPr="005930C7">
        <w:rPr>
          <w:sz w:val="24"/>
          <w:szCs w:val="24"/>
        </w:rPr>
        <w:t xml:space="preserve">органов и учреждений всех уровней. </w:t>
      </w:r>
      <w:r>
        <w:rPr>
          <w:sz w:val="24"/>
          <w:szCs w:val="24"/>
        </w:rPr>
        <w:t>К</w:t>
      </w:r>
      <w:r w:rsidRPr="005930C7">
        <w:rPr>
          <w:sz w:val="24"/>
          <w:szCs w:val="24"/>
        </w:rPr>
        <w:t>онтрольны</w:t>
      </w:r>
      <w:r>
        <w:rPr>
          <w:sz w:val="24"/>
          <w:szCs w:val="24"/>
        </w:rPr>
        <w:t>е</w:t>
      </w:r>
      <w:r w:rsidRPr="005930C7">
        <w:rPr>
          <w:sz w:val="24"/>
          <w:szCs w:val="24"/>
        </w:rPr>
        <w:t xml:space="preserve"> соотношени</w:t>
      </w:r>
      <w:r>
        <w:rPr>
          <w:sz w:val="24"/>
          <w:szCs w:val="24"/>
        </w:rPr>
        <w:t>я</w:t>
      </w:r>
      <w:r w:rsidRPr="005930C7">
        <w:rPr>
          <w:sz w:val="24"/>
          <w:szCs w:val="24"/>
        </w:rPr>
        <w:t xml:space="preserve"> размещены на официальном сайте </w:t>
      </w:r>
      <w:r>
        <w:rPr>
          <w:sz w:val="24"/>
          <w:szCs w:val="24"/>
        </w:rPr>
        <w:t xml:space="preserve">Федерального </w:t>
      </w:r>
      <w:r w:rsidRPr="005930C7">
        <w:rPr>
          <w:sz w:val="24"/>
          <w:szCs w:val="24"/>
        </w:rPr>
        <w:t xml:space="preserve">Казначейства в разделе Документы/Учет и отчетность/ 2022/Январь, </w:t>
      </w:r>
      <w:r>
        <w:rPr>
          <w:sz w:val="24"/>
          <w:szCs w:val="24"/>
        </w:rPr>
        <w:t xml:space="preserve">а также </w:t>
      </w:r>
      <w:r w:rsidRPr="005930C7">
        <w:rPr>
          <w:sz w:val="24"/>
          <w:szCs w:val="24"/>
        </w:rPr>
        <w:t>в систем</w:t>
      </w:r>
      <w:r>
        <w:rPr>
          <w:sz w:val="24"/>
          <w:szCs w:val="24"/>
        </w:rPr>
        <w:t>ах</w:t>
      </w:r>
      <w:r w:rsidRPr="005930C7">
        <w:rPr>
          <w:sz w:val="24"/>
          <w:szCs w:val="24"/>
        </w:rPr>
        <w:t xml:space="preserve"> ГАРАНТ</w:t>
      </w:r>
      <w:r>
        <w:rPr>
          <w:sz w:val="24"/>
          <w:szCs w:val="24"/>
        </w:rPr>
        <w:t xml:space="preserve"> и Консультант Плюс</w:t>
      </w:r>
      <w:r w:rsidRPr="005930C7">
        <w:rPr>
          <w:sz w:val="24"/>
          <w:szCs w:val="24"/>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3F"/>
    <w:rsid w:val="00291387"/>
    <w:rsid w:val="005F5515"/>
    <w:rsid w:val="0090788E"/>
    <w:rsid w:val="00DB2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37212-31B2-4415-AEC4-9154C7B1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88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Знак2,Знак21,Знак3"/>
    <w:basedOn w:val="a"/>
    <w:link w:val="a4"/>
    <w:uiPriority w:val="99"/>
    <w:qFormat/>
    <w:rsid w:val="005F5515"/>
    <w:rPr>
      <w:rFonts w:eastAsia="Calibri"/>
      <w:sz w:val="20"/>
    </w:rPr>
  </w:style>
  <w:style w:type="character" w:customStyle="1" w:styleId="a4">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3"/>
    <w:uiPriority w:val="99"/>
    <w:qFormat/>
    <w:rsid w:val="005F5515"/>
    <w:rPr>
      <w:rFonts w:ascii="Times New Roman" w:eastAsia="Calibri" w:hAnsi="Times New Roman" w:cs="Times New Roman"/>
      <w:sz w:val="20"/>
      <w:szCs w:val="20"/>
      <w:lang w:eastAsia="ru-RU"/>
    </w:rPr>
  </w:style>
  <w:style w:type="character" w:styleId="a5">
    <w:name w:val="footnote reference"/>
    <w:aliases w:val="Знак сноски 1,Знак сноски-FN,Ciae niinee-FN,Referencia nota al pie,Ссылка на сноску 45,Appel note de bas de page,текст сноски"/>
    <w:uiPriority w:val="99"/>
    <w:rsid w:val="005F551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Светалана В. Фефелова</dc:creator>
  <cp:keywords/>
  <dc:description/>
  <cp:lastModifiedBy>Екатерина В. Антонова</cp:lastModifiedBy>
  <cp:revision>3</cp:revision>
  <dcterms:created xsi:type="dcterms:W3CDTF">2022-11-10T04:09:00Z</dcterms:created>
  <dcterms:modified xsi:type="dcterms:W3CDTF">2022-11-10T04:12:00Z</dcterms:modified>
</cp:coreProperties>
</file>