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68" w:rsidRDefault="00EA7568" w:rsidP="00EA7568">
      <w:pPr>
        <w:widowControl w:val="0"/>
        <w:tabs>
          <w:tab w:val="left" w:pos="567"/>
        </w:tabs>
        <w:autoSpaceDE w:val="0"/>
        <w:autoSpaceDN w:val="0"/>
        <w:adjustRightInd w:val="0"/>
        <w:jc w:val="center"/>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Результаты заключения</w:t>
      </w:r>
    </w:p>
    <w:p w:rsidR="00EA7568" w:rsidRDefault="00EA7568" w:rsidP="00EA7568">
      <w:pPr>
        <w:widowControl w:val="0"/>
        <w:pBdr>
          <w:bottom w:val="single" w:sz="12" w:space="1" w:color="auto"/>
        </w:pBdr>
        <w:tabs>
          <w:tab w:val="left" w:pos="567"/>
        </w:tabs>
        <w:autoSpaceDE w:val="0"/>
        <w:autoSpaceDN w:val="0"/>
        <w:adjustRightInd w:val="0"/>
        <w:jc w:val="center"/>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 xml:space="preserve"> Контрольно-счетной палаты Приморского края на </w:t>
      </w:r>
      <w:r w:rsidRPr="00EA7568">
        <w:rPr>
          <w:rFonts w:ascii="Times New Roman CYR" w:hAnsi="Times New Roman CYR" w:cs="Times New Roman CYR"/>
          <w:b/>
          <w:color w:val="000000"/>
          <w:sz w:val="28"/>
          <w:szCs w:val="28"/>
        </w:rPr>
        <w:t>годовой отчет об исполнении бюджета территориального фонда обязательного медицинского страхования</w:t>
      </w:r>
      <w:r>
        <w:rPr>
          <w:rFonts w:ascii="Times New Roman CYR" w:hAnsi="Times New Roman CYR" w:cs="Times New Roman CYR"/>
          <w:b/>
          <w:color w:val="000000"/>
          <w:sz w:val="28"/>
          <w:szCs w:val="28"/>
        </w:rPr>
        <w:t xml:space="preserve"> </w:t>
      </w:r>
      <w:r w:rsidRPr="00EA7568">
        <w:rPr>
          <w:rFonts w:ascii="Times New Roman CYR" w:hAnsi="Times New Roman CYR" w:cs="Times New Roman CYR"/>
          <w:b/>
          <w:color w:val="000000"/>
          <w:sz w:val="28"/>
          <w:szCs w:val="28"/>
        </w:rPr>
        <w:t>Приморского края за 2022 год</w:t>
      </w:r>
    </w:p>
    <w:p w:rsidR="00EA7568" w:rsidRPr="00EA7568" w:rsidRDefault="00EA7568" w:rsidP="00EA7568">
      <w:pPr>
        <w:widowControl w:val="0"/>
        <w:tabs>
          <w:tab w:val="left" w:pos="567"/>
        </w:tabs>
        <w:autoSpaceDE w:val="0"/>
        <w:autoSpaceDN w:val="0"/>
        <w:adjustRightInd w:val="0"/>
        <w:jc w:val="center"/>
        <w:rPr>
          <w:rFonts w:ascii="Times New Roman CYR" w:hAnsi="Times New Roman CYR" w:cs="Times New Roman CYR"/>
          <w:b/>
          <w:color w:val="000000"/>
          <w:sz w:val="28"/>
          <w:szCs w:val="28"/>
        </w:rPr>
      </w:pPr>
    </w:p>
    <w:p w:rsidR="003972C7" w:rsidRDefault="00EA7568" w:rsidP="00EA7568">
      <w:pPr>
        <w:ind w:firstLine="708"/>
        <w:jc w:val="both"/>
        <w:rPr>
          <w:bCs/>
          <w:sz w:val="28"/>
          <w:szCs w:val="28"/>
        </w:rPr>
      </w:pPr>
      <w:r w:rsidRPr="00EA7568">
        <w:rPr>
          <w:bCs/>
          <w:sz w:val="28"/>
          <w:szCs w:val="28"/>
        </w:rPr>
        <w:t xml:space="preserve">Проверкой, проведенной Контрольно-счетной палатой, достоверность представленного отчета об исполнении бюджета </w:t>
      </w:r>
      <w:r w:rsidR="003972C7" w:rsidRPr="003972C7">
        <w:rPr>
          <w:bCs/>
          <w:sz w:val="28"/>
          <w:szCs w:val="28"/>
        </w:rPr>
        <w:t xml:space="preserve">государственного бюджетного учреждения </w:t>
      </w:r>
      <w:r w:rsidR="003972C7">
        <w:rPr>
          <w:bCs/>
          <w:sz w:val="28"/>
          <w:szCs w:val="28"/>
        </w:rPr>
        <w:t>"</w:t>
      </w:r>
      <w:r w:rsidR="003972C7" w:rsidRPr="003972C7">
        <w:rPr>
          <w:bCs/>
          <w:sz w:val="28"/>
          <w:szCs w:val="28"/>
        </w:rPr>
        <w:t>Территориальный фонд обязательного медицинского страхования Приморского края</w:t>
      </w:r>
      <w:r w:rsidR="003972C7">
        <w:rPr>
          <w:bCs/>
          <w:sz w:val="28"/>
          <w:szCs w:val="28"/>
        </w:rPr>
        <w:t>" (</w:t>
      </w:r>
      <w:r w:rsidRPr="00EA7568">
        <w:rPr>
          <w:bCs/>
          <w:sz w:val="28"/>
          <w:szCs w:val="28"/>
        </w:rPr>
        <w:t>ТФОМС</w:t>
      </w:r>
      <w:r w:rsidR="003972C7">
        <w:rPr>
          <w:bCs/>
          <w:sz w:val="28"/>
          <w:szCs w:val="28"/>
        </w:rPr>
        <w:t>)</w:t>
      </w:r>
      <w:r w:rsidRPr="00EA7568">
        <w:rPr>
          <w:bCs/>
          <w:sz w:val="28"/>
          <w:szCs w:val="28"/>
        </w:rPr>
        <w:t xml:space="preserve"> за 2022 год подтверждена. Фактов недостоверного и неполного отражения данных в отчете об исполнении бюджета ТФОМС не установлено.  </w:t>
      </w:r>
    </w:p>
    <w:p w:rsidR="00EA7568" w:rsidRDefault="00EA7568" w:rsidP="00EA7568">
      <w:pPr>
        <w:ind w:firstLine="708"/>
        <w:jc w:val="both"/>
        <w:rPr>
          <w:sz w:val="28"/>
          <w:szCs w:val="28"/>
        </w:rPr>
      </w:pPr>
      <w:r w:rsidRPr="00EA7568">
        <w:rPr>
          <w:bCs/>
          <w:sz w:val="28"/>
          <w:szCs w:val="28"/>
        </w:rPr>
        <w:t> В ходе исполнения бюджета ТФОМС в Закон Приморского края</w:t>
      </w:r>
      <w:r w:rsidR="003972C7">
        <w:rPr>
          <w:bCs/>
          <w:sz w:val="28"/>
          <w:szCs w:val="28"/>
        </w:rPr>
        <w:t xml:space="preserve"> о</w:t>
      </w:r>
      <w:r w:rsidR="003972C7" w:rsidRPr="003972C7">
        <w:rPr>
          <w:bCs/>
          <w:sz w:val="28"/>
          <w:szCs w:val="28"/>
        </w:rPr>
        <w:t xml:space="preserve"> бюджете территориального фонда обязательного медицинского страхования на 2022 год </w:t>
      </w:r>
      <w:r w:rsidRPr="00EA7568">
        <w:rPr>
          <w:bCs/>
          <w:sz w:val="28"/>
          <w:szCs w:val="28"/>
        </w:rPr>
        <w:t>внесено одно изменение, с учетом которого плановые назначения бюджета ТФОМС по доходам увеличены на 2,5 %, по расходам увеличены на 7,3 % и утверждены по доходам в сумме 37 725,2 млн рублей</w:t>
      </w:r>
      <w:r w:rsidR="003972C7">
        <w:rPr>
          <w:bCs/>
          <w:sz w:val="28"/>
          <w:szCs w:val="28"/>
        </w:rPr>
        <w:t xml:space="preserve">, что </w:t>
      </w:r>
      <w:r w:rsidRPr="00EA7568">
        <w:rPr>
          <w:bCs/>
          <w:sz w:val="28"/>
          <w:szCs w:val="28"/>
        </w:rPr>
        <w:t>на 4,2 % выше показателя 2021 года</w:t>
      </w:r>
      <w:r w:rsidR="003972C7">
        <w:rPr>
          <w:bCs/>
          <w:sz w:val="28"/>
          <w:szCs w:val="28"/>
        </w:rPr>
        <w:t>.</w:t>
      </w:r>
      <w:r w:rsidRPr="00EA7568">
        <w:rPr>
          <w:bCs/>
          <w:sz w:val="28"/>
          <w:szCs w:val="28"/>
        </w:rPr>
        <w:t xml:space="preserve"> </w:t>
      </w:r>
      <w:r w:rsidR="003972C7">
        <w:rPr>
          <w:bCs/>
          <w:sz w:val="28"/>
          <w:szCs w:val="28"/>
        </w:rPr>
        <w:t>П</w:t>
      </w:r>
      <w:r w:rsidRPr="00EA7568">
        <w:rPr>
          <w:bCs/>
          <w:sz w:val="28"/>
          <w:szCs w:val="28"/>
        </w:rPr>
        <w:t xml:space="preserve">о расходам </w:t>
      </w:r>
      <w:r w:rsidR="003972C7">
        <w:rPr>
          <w:bCs/>
          <w:sz w:val="28"/>
          <w:szCs w:val="28"/>
        </w:rPr>
        <w:t xml:space="preserve">– </w:t>
      </w:r>
      <w:r w:rsidRPr="00EA7568">
        <w:rPr>
          <w:bCs/>
          <w:sz w:val="28"/>
          <w:szCs w:val="28"/>
        </w:rPr>
        <w:t>в сумме 39 503,5 млн рублей</w:t>
      </w:r>
      <w:r w:rsidR="003972C7">
        <w:rPr>
          <w:bCs/>
          <w:sz w:val="28"/>
          <w:szCs w:val="28"/>
        </w:rPr>
        <w:t xml:space="preserve">, или </w:t>
      </w:r>
      <w:r w:rsidRPr="00EA7568">
        <w:rPr>
          <w:bCs/>
          <w:sz w:val="28"/>
          <w:szCs w:val="28"/>
        </w:rPr>
        <w:t xml:space="preserve">на </w:t>
      </w:r>
      <w:r w:rsidR="003972C7">
        <w:rPr>
          <w:bCs/>
          <w:sz w:val="28"/>
          <w:szCs w:val="28"/>
        </w:rPr>
        <w:t>7,8 % выше показателя 2021 года</w:t>
      </w:r>
      <w:r w:rsidRPr="00EA7568">
        <w:rPr>
          <w:bCs/>
          <w:sz w:val="28"/>
          <w:szCs w:val="28"/>
        </w:rPr>
        <w:t>. В результате внесенных изменений в бюджетную роспись уточненный план по расходам составил 39</w:t>
      </w:r>
      <w:r>
        <w:rPr>
          <w:color w:val="000000"/>
          <w:sz w:val="28"/>
          <w:szCs w:val="28"/>
        </w:rPr>
        <w:t> 516, 3 млн рублей.</w:t>
      </w:r>
      <w:r w:rsidR="003972C7">
        <w:rPr>
          <w:color w:val="000000"/>
          <w:sz w:val="28"/>
          <w:szCs w:val="28"/>
        </w:rPr>
        <w:t xml:space="preserve"> </w:t>
      </w:r>
    </w:p>
    <w:p w:rsidR="00EA7568" w:rsidRDefault="00EA7568" w:rsidP="00EA7568">
      <w:pPr>
        <w:ind w:firstLine="708"/>
        <w:jc w:val="both"/>
        <w:rPr>
          <w:color w:val="000000"/>
          <w:sz w:val="28"/>
          <w:szCs w:val="28"/>
        </w:rPr>
      </w:pPr>
      <w:r>
        <w:rPr>
          <w:sz w:val="28"/>
          <w:szCs w:val="28"/>
        </w:rPr>
        <w:t xml:space="preserve"> </w:t>
      </w:r>
      <w:r>
        <w:rPr>
          <w:color w:val="000000"/>
          <w:sz w:val="28"/>
          <w:szCs w:val="28"/>
        </w:rPr>
        <w:t xml:space="preserve">При плановых показателях дефицита в размере </w:t>
      </w:r>
      <w:r>
        <w:rPr>
          <w:rFonts w:eastAsia="Calibri"/>
          <w:sz w:val="28"/>
          <w:szCs w:val="28"/>
          <w:lang w:eastAsia="en-US"/>
        </w:rPr>
        <w:t xml:space="preserve">1 778,3 млн рублей </w:t>
      </w:r>
      <w:r>
        <w:rPr>
          <w:color w:val="000000"/>
          <w:sz w:val="28"/>
          <w:szCs w:val="28"/>
        </w:rPr>
        <w:t xml:space="preserve">по итогам исполнения бюджета ТФОМС сложился дефицит в сумме 18,5 млн рублей. </w:t>
      </w:r>
    </w:p>
    <w:p w:rsidR="00EA7568" w:rsidRDefault="00EA7568" w:rsidP="00EA7568">
      <w:pPr>
        <w:autoSpaceDE w:val="0"/>
        <w:autoSpaceDN w:val="0"/>
        <w:adjustRightInd w:val="0"/>
        <w:ind w:firstLine="708"/>
        <w:jc w:val="both"/>
        <w:rPr>
          <w:color w:val="000000"/>
          <w:sz w:val="28"/>
          <w:szCs w:val="28"/>
        </w:rPr>
      </w:pPr>
      <w:r>
        <w:rPr>
          <w:color w:val="000000"/>
          <w:sz w:val="28"/>
          <w:szCs w:val="28"/>
        </w:rPr>
        <w:t xml:space="preserve">При планируемом объеме доходов в сумме 37 725,2 млн рублей исполнение составило 100,1 %, что на 44,7 млн рублей сверх предусмотренного планом. </w:t>
      </w:r>
      <w:r>
        <w:rPr>
          <w:sz w:val="28"/>
          <w:szCs w:val="28"/>
        </w:rPr>
        <w:t xml:space="preserve">Сравнивая доходы бюджета ТФОМС за отчетный год в абсолютных значениях, отмечаем, что их поступление имеет незначительный рост к соответствующему предыдущему периоду на 1,0 %, или на </w:t>
      </w:r>
      <w:r w:rsidR="00510A70">
        <w:rPr>
          <w:sz w:val="28"/>
          <w:szCs w:val="28"/>
        </w:rPr>
        <w:t>374</w:t>
      </w:r>
      <w:r>
        <w:rPr>
          <w:sz w:val="28"/>
          <w:szCs w:val="28"/>
        </w:rPr>
        <w:t>,</w:t>
      </w:r>
      <w:r w:rsidR="00510A70">
        <w:rPr>
          <w:sz w:val="28"/>
          <w:szCs w:val="28"/>
        </w:rPr>
        <w:t>2</w:t>
      </w:r>
      <w:bookmarkStart w:id="0" w:name="_GoBack"/>
      <w:bookmarkEnd w:id="0"/>
      <w:r>
        <w:rPr>
          <w:sz w:val="28"/>
          <w:szCs w:val="28"/>
        </w:rPr>
        <w:t xml:space="preserve"> млн рублей.</w:t>
      </w:r>
    </w:p>
    <w:p w:rsidR="00EA7568" w:rsidRDefault="00EA7568" w:rsidP="003972C7">
      <w:pPr>
        <w:ind w:firstLine="708"/>
        <w:jc w:val="both"/>
        <w:rPr>
          <w:color w:val="000000"/>
          <w:sz w:val="28"/>
          <w:szCs w:val="28"/>
        </w:rPr>
      </w:pPr>
      <w:r>
        <w:rPr>
          <w:color w:val="000000"/>
          <w:sz w:val="28"/>
          <w:szCs w:val="28"/>
        </w:rPr>
        <w:t xml:space="preserve">Удельный вес безвозмездных перечислений составляет 99,8 % в общем объеме доходов ТФОМС. </w:t>
      </w:r>
      <w:r>
        <w:rPr>
          <w:sz w:val="28"/>
          <w:szCs w:val="28"/>
        </w:rPr>
        <w:t>Утвержденные бюджетные назначения</w:t>
      </w:r>
      <w:r>
        <w:rPr>
          <w:b/>
          <w:sz w:val="28"/>
          <w:szCs w:val="28"/>
        </w:rPr>
        <w:t xml:space="preserve"> </w:t>
      </w:r>
      <w:r>
        <w:rPr>
          <w:sz w:val="28"/>
          <w:szCs w:val="28"/>
        </w:rPr>
        <w:t>исполнены за отчетный год на 100,1 %, или на 37 706,2 млн рублей</w:t>
      </w:r>
      <w:r w:rsidR="003972C7">
        <w:rPr>
          <w:sz w:val="28"/>
          <w:szCs w:val="28"/>
        </w:rPr>
        <w:t>.</w:t>
      </w:r>
      <w:r>
        <w:rPr>
          <w:sz w:val="28"/>
          <w:szCs w:val="28"/>
        </w:rPr>
        <w:t xml:space="preserve"> </w:t>
      </w:r>
    </w:p>
    <w:p w:rsidR="00EA7568" w:rsidRDefault="00EA7568" w:rsidP="00EA7568">
      <w:pPr>
        <w:ind w:firstLine="708"/>
        <w:jc w:val="both"/>
        <w:rPr>
          <w:sz w:val="28"/>
          <w:szCs w:val="28"/>
        </w:rPr>
      </w:pPr>
      <w:r>
        <w:rPr>
          <w:color w:val="000000"/>
          <w:sz w:val="28"/>
          <w:szCs w:val="28"/>
        </w:rPr>
        <w:t xml:space="preserve">Удельный вес </w:t>
      </w:r>
      <w:r>
        <w:rPr>
          <w:sz w:val="28"/>
          <w:szCs w:val="28"/>
        </w:rPr>
        <w:t>налоговых и неналоговых доходов в общем объеме составляет 0,2 %, и исполнены на 63,7 млн рублей</w:t>
      </w:r>
      <w:r w:rsidR="003972C7">
        <w:rPr>
          <w:sz w:val="28"/>
          <w:szCs w:val="28"/>
        </w:rPr>
        <w:t xml:space="preserve">, или </w:t>
      </w:r>
      <w:r>
        <w:rPr>
          <w:sz w:val="28"/>
          <w:szCs w:val="28"/>
        </w:rPr>
        <w:t>117,3 %</w:t>
      </w:r>
      <w:r w:rsidR="003972C7">
        <w:rPr>
          <w:sz w:val="28"/>
          <w:szCs w:val="28"/>
        </w:rPr>
        <w:t>.</w:t>
      </w:r>
    </w:p>
    <w:p w:rsidR="00EA7568" w:rsidRDefault="00EA7568" w:rsidP="00EA7568">
      <w:pPr>
        <w:spacing w:after="1" w:line="280" w:lineRule="atLeast"/>
        <w:ind w:firstLine="708"/>
        <w:jc w:val="both"/>
        <w:rPr>
          <w:sz w:val="28"/>
          <w:szCs w:val="28"/>
        </w:rPr>
      </w:pPr>
      <w:r>
        <w:rPr>
          <w:sz w:val="28"/>
          <w:szCs w:val="28"/>
        </w:rPr>
        <w:t xml:space="preserve"> Исполнение по расходам за 2022 год составило 37 788,3 млн рублей, или 95,6 % от суммы уточненных плановых назначений, не исполнено средств на сумму 1 728,0 млн рублей. По сравнению с фактическим исполнением по расходам за 2021 год</w:t>
      </w:r>
      <w:r>
        <w:rPr>
          <w:rFonts w:eastAsia="Calibri"/>
          <w:sz w:val="28"/>
          <w:szCs w:val="28"/>
          <w:lang w:eastAsia="en-US"/>
        </w:rPr>
        <w:t xml:space="preserve"> в 2022 году расходы увеличились на 1 701,7 млн рублей, или на 4,7 %.</w:t>
      </w:r>
      <w:r>
        <w:rPr>
          <w:sz w:val="28"/>
          <w:szCs w:val="28"/>
        </w:rPr>
        <w:t xml:space="preserve"> </w:t>
      </w:r>
    </w:p>
    <w:p w:rsidR="00EA7568" w:rsidRDefault="00EA7568" w:rsidP="00EA7568">
      <w:pPr>
        <w:ind w:firstLine="708"/>
        <w:jc w:val="both"/>
        <w:rPr>
          <w:color w:val="000000"/>
          <w:sz w:val="28"/>
          <w:szCs w:val="28"/>
        </w:rPr>
      </w:pPr>
      <w:r>
        <w:rPr>
          <w:color w:val="000000"/>
          <w:sz w:val="28"/>
          <w:szCs w:val="28"/>
        </w:rPr>
        <w:t>Средства на выполнение ГУ ТФОМС ПК управленческих функций исполнены на 237,0 млн рублей. Не исполнены утвержденные бюджетные назначения в сумме 32,0 млн рублей по причинам несостоявшегося аукциона на оказание услуг</w:t>
      </w:r>
      <w:r w:rsidR="00530492">
        <w:rPr>
          <w:color w:val="000000"/>
          <w:sz w:val="28"/>
          <w:szCs w:val="28"/>
        </w:rPr>
        <w:t xml:space="preserve"> и</w:t>
      </w:r>
      <w:r>
        <w:rPr>
          <w:color w:val="000000"/>
          <w:sz w:val="28"/>
          <w:szCs w:val="28"/>
        </w:rPr>
        <w:t xml:space="preserve"> экономии средств за счет проведения конкурентных способов определения поставщиков (подрядчиков). </w:t>
      </w:r>
      <w:r>
        <w:rPr>
          <w:sz w:val="28"/>
          <w:szCs w:val="28"/>
        </w:rPr>
        <w:t>Расходы на содержание аппарата управления ГУ ТФОМС ПК по отношению</w:t>
      </w:r>
      <w:r w:rsidR="00530492">
        <w:rPr>
          <w:sz w:val="28"/>
          <w:szCs w:val="28"/>
        </w:rPr>
        <w:t xml:space="preserve"> к 2021 году снизились на 4,8 %</w:t>
      </w:r>
      <w:r>
        <w:rPr>
          <w:sz w:val="28"/>
          <w:szCs w:val="28"/>
        </w:rPr>
        <w:t>.</w:t>
      </w:r>
    </w:p>
    <w:p w:rsidR="00EA7568" w:rsidRDefault="00EA7568" w:rsidP="00EA7568">
      <w:pPr>
        <w:autoSpaceDE w:val="0"/>
        <w:autoSpaceDN w:val="0"/>
        <w:adjustRightInd w:val="0"/>
        <w:ind w:firstLine="708"/>
        <w:jc w:val="both"/>
        <w:rPr>
          <w:color w:val="000000"/>
          <w:sz w:val="28"/>
          <w:szCs w:val="28"/>
        </w:rPr>
      </w:pPr>
      <w:r>
        <w:rPr>
          <w:color w:val="000000"/>
          <w:sz w:val="28"/>
          <w:szCs w:val="28"/>
        </w:rPr>
        <w:lastRenderedPageBreak/>
        <w:t>По разделу 0900 «Здравоохранение</w:t>
      </w:r>
      <w:r>
        <w:rPr>
          <w:sz w:val="28"/>
          <w:szCs w:val="28"/>
        </w:rPr>
        <w:t xml:space="preserve">» </w:t>
      </w:r>
      <w:r>
        <w:rPr>
          <w:color w:val="000000"/>
          <w:sz w:val="28"/>
          <w:szCs w:val="28"/>
        </w:rPr>
        <w:t>расходы бюджета ТФОМС составили в сумме 37 551,3 млн рублей</w:t>
      </w:r>
      <w:r w:rsidR="00530492">
        <w:rPr>
          <w:color w:val="000000"/>
          <w:sz w:val="28"/>
          <w:szCs w:val="28"/>
        </w:rPr>
        <w:t>, или</w:t>
      </w:r>
      <w:r>
        <w:rPr>
          <w:color w:val="000000"/>
          <w:sz w:val="28"/>
          <w:szCs w:val="28"/>
        </w:rPr>
        <w:t xml:space="preserve"> 95,7 % от годовых бюджетных назначений, что на 4,8 % выше уровня прошлого года</w:t>
      </w:r>
      <w:r w:rsidR="00530492">
        <w:rPr>
          <w:color w:val="000000"/>
          <w:sz w:val="28"/>
          <w:szCs w:val="28"/>
        </w:rPr>
        <w:t xml:space="preserve">. </w:t>
      </w:r>
      <w:r>
        <w:rPr>
          <w:color w:val="000000"/>
          <w:sz w:val="28"/>
          <w:szCs w:val="28"/>
        </w:rPr>
        <w:t xml:space="preserve"> </w:t>
      </w:r>
    </w:p>
    <w:p w:rsidR="00EA7568" w:rsidRDefault="00530492" w:rsidP="00EA7568">
      <w:pPr>
        <w:ind w:firstLine="708"/>
        <w:jc w:val="both"/>
        <w:rPr>
          <w:sz w:val="28"/>
          <w:szCs w:val="28"/>
        </w:rPr>
      </w:pPr>
      <w:r>
        <w:rPr>
          <w:sz w:val="28"/>
          <w:szCs w:val="28"/>
        </w:rPr>
        <w:t>С</w:t>
      </w:r>
      <w:r w:rsidR="00EA7568">
        <w:rPr>
          <w:sz w:val="28"/>
          <w:szCs w:val="28"/>
        </w:rPr>
        <w:t>умма дебиторской задолженности ТФОМС составила 40 348,7 млн рублей, или выросла по сравнению с началом года на 3 985,5 млн рублей</w:t>
      </w:r>
      <w:r>
        <w:rPr>
          <w:sz w:val="28"/>
          <w:szCs w:val="28"/>
        </w:rPr>
        <w:t xml:space="preserve"> (</w:t>
      </w:r>
      <w:r w:rsidR="00EA7568">
        <w:rPr>
          <w:sz w:val="28"/>
          <w:szCs w:val="28"/>
        </w:rPr>
        <w:t>10,9</w:t>
      </w:r>
      <w:r>
        <w:rPr>
          <w:sz w:val="28"/>
          <w:szCs w:val="28"/>
        </w:rPr>
        <w:t> </w:t>
      </w:r>
      <w:r w:rsidR="00EA7568">
        <w:rPr>
          <w:sz w:val="28"/>
          <w:szCs w:val="28"/>
        </w:rPr>
        <w:t>%</w:t>
      </w:r>
      <w:r>
        <w:rPr>
          <w:sz w:val="28"/>
          <w:szCs w:val="28"/>
        </w:rPr>
        <w:t>)</w:t>
      </w:r>
      <w:r w:rsidR="00EA7568">
        <w:rPr>
          <w:sz w:val="28"/>
          <w:szCs w:val="28"/>
        </w:rPr>
        <w:t xml:space="preserve">. Просроченная дебиторская задолженность на начало и на конец года составляет в размере 3,8 млн рублей и включает в себя задолженность по восстановлению средств ОМС, использованных не по целевому назначению. </w:t>
      </w:r>
    </w:p>
    <w:p w:rsidR="00EA7568" w:rsidRDefault="00EA7568" w:rsidP="00EA7568">
      <w:pPr>
        <w:ind w:firstLine="708"/>
        <w:jc w:val="both"/>
        <w:rPr>
          <w:sz w:val="28"/>
          <w:szCs w:val="28"/>
        </w:rPr>
      </w:pPr>
      <w:r>
        <w:rPr>
          <w:sz w:val="28"/>
          <w:szCs w:val="28"/>
        </w:rPr>
        <w:t>Кредиторская задолженность по бухгалтерскому учету ГУ ТФОМС ПК по отношению к данным на начало отчетного периода снижена на 0,5 %, или на 9,0 млн рублей, и составила в сумме 1 707,7 млн рублей. Просроченная кредиторская задолженность на начало и конец отчетного периода по ГУ ТФОМС ПК отсутствует.</w:t>
      </w:r>
      <w:r>
        <w:rPr>
          <w:noProof/>
        </w:rPr>
        <w:t xml:space="preserve"> </w:t>
      </w:r>
    </w:p>
    <w:p w:rsidR="00EA7568" w:rsidRDefault="00EA7568" w:rsidP="00EA7568">
      <w:pPr>
        <w:ind w:firstLine="708"/>
        <w:jc w:val="both"/>
        <w:rPr>
          <w:sz w:val="28"/>
          <w:szCs w:val="28"/>
        </w:rPr>
      </w:pPr>
      <w:r>
        <w:rPr>
          <w:sz w:val="28"/>
          <w:szCs w:val="28"/>
        </w:rPr>
        <w:t xml:space="preserve">Норматив расходов на ведение дела по ОМС для ООО СМО «Восточно-страховой альянс», которое участвует в реализации территориальной программы ОМС на территории Приморского края, установлен в размере 1,0 % от суммы средств, поступивших в СМО по дифференцированным подушевым нормативам и перечислен страховой организации в размере 100 % от расчетной суммы. </w:t>
      </w:r>
    </w:p>
    <w:p w:rsidR="00EA7568" w:rsidRDefault="00EA7568" w:rsidP="00EA7568">
      <w:pPr>
        <w:spacing w:after="1"/>
        <w:ind w:firstLine="708"/>
        <w:jc w:val="both"/>
        <w:rPr>
          <w:sz w:val="28"/>
          <w:szCs w:val="28"/>
        </w:rPr>
      </w:pPr>
      <w:r>
        <w:rPr>
          <w:sz w:val="28"/>
          <w:szCs w:val="28"/>
        </w:rPr>
        <w:t>За 2022 год на основании предъявленных счетов от медицинских организаций и заявок от ООО СМО использовано средств нормированного страхового запаса в общей сумме 976,2 млн рублей</w:t>
      </w:r>
      <w:r w:rsidR="00530492">
        <w:rPr>
          <w:sz w:val="28"/>
          <w:szCs w:val="28"/>
        </w:rPr>
        <w:t xml:space="preserve">, или </w:t>
      </w:r>
      <w:r>
        <w:rPr>
          <w:sz w:val="28"/>
          <w:szCs w:val="28"/>
        </w:rPr>
        <w:t xml:space="preserve">70,6 % от сформированного объема. </w:t>
      </w:r>
    </w:p>
    <w:p w:rsidR="00EA7568" w:rsidRDefault="00530492" w:rsidP="00EA7568">
      <w:pPr>
        <w:ind w:firstLine="708"/>
        <w:jc w:val="both"/>
        <w:rPr>
          <w:sz w:val="28"/>
          <w:szCs w:val="28"/>
        </w:rPr>
      </w:pPr>
      <w:r>
        <w:rPr>
          <w:color w:val="000000"/>
          <w:sz w:val="28"/>
          <w:szCs w:val="28"/>
        </w:rPr>
        <w:t>Д</w:t>
      </w:r>
      <w:r w:rsidR="00EA7568">
        <w:rPr>
          <w:color w:val="000000"/>
          <w:sz w:val="28"/>
          <w:szCs w:val="28"/>
        </w:rPr>
        <w:t xml:space="preserve">ефицит бюджета ТФОМС составил 18,5 млн рублей при утвержденном дефиците 1 778,3 млн рублей. </w:t>
      </w:r>
      <w:r w:rsidR="00EA7568">
        <w:rPr>
          <w:sz w:val="28"/>
          <w:szCs w:val="28"/>
        </w:rPr>
        <w:t xml:space="preserve">Остатки неиспользованных средств по медицинским учреждениям, на конец года составили в сумме 2 792,1 млн рублей и по сравнению с началом года снизились на 100,3 млн рублей, или на 3,5 %. </w:t>
      </w:r>
    </w:p>
    <w:p w:rsidR="00EA7568" w:rsidRDefault="00EA7568" w:rsidP="00530492">
      <w:pPr>
        <w:ind w:firstLine="708"/>
        <w:jc w:val="both"/>
        <w:rPr>
          <w:sz w:val="28"/>
          <w:szCs w:val="28"/>
        </w:rPr>
      </w:pPr>
      <w:r>
        <w:rPr>
          <w:sz w:val="28"/>
          <w:szCs w:val="28"/>
        </w:rPr>
        <w:t>По информации, предоставленной министерством здравоохранения Приморского края, сумма кредиторской задолженности</w:t>
      </w:r>
      <w:r>
        <w:rPr>
          <w:i/>
          <w:sz w:val="28"/>
          <w:szCs w:val="28"/>
        </w:rPr>
        <w:t xml:space="preserve"> </w:t>
      </w:r>
      <w:r>
        <w:rPr>
          <w:sz w:val="28"/>
          <w:szCs w:val="28"/>
        </w:rPr>
        <w:t>медицинских учреждений, включая центральные городские и районные больницы, по средствам ОМС составила 836,0 млн рублей и снизилась по сравнению с началом года на 575,8 млн рублей, или на 40,8 %, в том числе ликвидирована просроченная кредиторская задолженность. Одной из причин положительной динамики снижения кредиторской задолженности является предоставление из краевого бюджета средств на ее погашение для 8 медицинских учреждений в размере 117,9 млн рублей</w:t>
      </w:r>
      <w:r w:rsidR="00530492">
        <w:rPr>
          <w:sz w:val="28"/>
          <w:szCs w:val="28"/>
        </w:rPr>
        <w:t>.</w:t>
      </w:r>
      <w:r>
        <w:rPr>
          <w:sz w:val="28"/>
          <w:szCs w:val="28"/>
        </w:rPr>
        <w:t xml:space="preserve"> </w:t>
      </w:r>
      <w:r w:rsidR="00530492">
        <w:rPr>
          <w:sz w:val="28"/>
          <w:szCs w:val="28"/>
        </w:rPr>
        <w:t>Н</w:t>
      </w:r>
      <w:r>
        <w:rPr>
          <w:sz w:val="28"/>
          <w:szCs w:val="28"/>
        </w:rPr>
        <w:t xml:space="preserve">аиболее значительные размеры кредиторской задолженности погашены в полном объеме в КГБУЗ </w:t>
      </w:r>
      <w:r w:rsidR="00530492">
        <w:rPr>
          <w:sz w:val="28"/>
          <w:szCs w:val="28"/>
        </w:rPr>
        <w:t>"</w:t>
      </w:r>
      <w:proofErr w:type="spellStart"/>
      <w:r>
        <w:rPr>
          <w:sz w:val="28"/>
          <w:szCs w:val="28"/>
        </w:rPr>
        <w:t>Чугуевская</w:t>
      </w:r>
      <w:proofErr w:type="spellEnd"/>
      <w:r>
        <w:rPr>
          <w:sz w:val="28"/>
          <w:szCs w:val="28"/>
        </w:rPr>
        <w:t xml:space="preserve"> ЦРБ</w:t>
      </w:r>
      <w:r w:rsidR="00530492">
        <w:rPr>
          <w:sz w:val="28"/>
          <w:szCs w:val="28"/>
        </w:rPr>
        <w:t>"</w:t>
      </w:r>
      <w:r>
        <w:rPr>
          <w:sz w:val="28"/>
          <w:szCs w:val="28"/>
        </w:rPr>
        <w:t xml:space="preserve"> </w:t>
      </w:r>
      <w:r w:rsidR="00530492">
        <w:rPr>
          <w:sz w:val="28"/>
          <w:szCs w:val="28"/>
        </w:rPr>
        <w:t>и</w:t>
      </w:r>
      <w:r>
        <w:rPr>
          <w:sz w:val="28"/>
          <w:szCs w:val="28"/>
        </w:rPr>
        <w:t xml:space="preserve"> в КГБУЗ </w:t>
      </w:r>
      <w:r w:rsidR="00530492">
        <w:rPr>
          <w:sz w:val="28"/>
          <w:szCs w:val="28"/>
        </w:rPr>
        <w:t>"</w:t>
      </w:r>
      <w:r>
        <w:rPr>
          <w:sz w:val="28"/>
          <w:szCs w:val="28"/>
        </w:rPr>
        <w:t>Шкотовская ЦРБ</w:t>
      </w:r>
      <w:r w:rsidR="00530492">
        <w:rPr>
          <w:sz w:val="28"/>
          <w:szCs w:val="28"/>
        </w:rPr>
        <w:t>"</w:t>
      </w:r>
      <w:r>
        <w:rPr>
          <w:sz w:val="28"/>
          <w:szCs w:val="28"/>
        </w:rPr>
        <w:t xml:space="preserve">. </w:t>
      </w:r>
    </w:p>
    <w:p w:rsidR="00EA7568" w:rsidRDefault="00EA7568" w:rsidP="00EA7568">
      <w:pPr>
        <w:ind w:firstLine="709"/>
        <w:jc w:val="both"/>
        <w:rPr>
          <w:sz w:val="28"/>
          <w:szCs w:val="28"/>
        </w:rPr>
      </w:pPr>
      <w:r>
        <w:rPr>
          <w:sz w:val="28"/>
          <w:szCs w:val="28"/>
        </w:rPr>
        <w:t xml:space="preserve">Постановлением Правительства Приморского края утверждена Территориальная программа государственных гарантий на 2022 год и на плановый период 2023 и 2024 годов на общую сумму </w:t>
      </w:r>
      <w:r>
        <w:rPr>
          <w:color w:val="000000"/>
          <w:sz w:val="28"/>
          <w:szCs w:val="28"/>
        </w:rPr>
        <w:t>46 227,3</w:t>
      </w:r>
      <w:r>
        <w:rPr>
          <w:sz w:val="28"/>
          <w:szCs w:val="28"/>
        </w:rPr>
        <w:t xml:space="preserve"> млн рублей, что больше уровня прошлого года на 4 198,4 млн рублей. Фактически сложившийся норматив подушевого финансирования за счет средств ОМС составил 19 917,33 рублей на одного застрахованного</w:t>
      </w:r>
      <w:r w:rsidR="00530492">
        <w:rPr>
          <w:sz w:val="28"/>
          <w:szCs w:val="28"/>
        </w:rPr>
        <w:t>,</w:t>
      </w:r>
      <w:r>
        <w:rPr>
          <w:sz w:val="28"/>
          <w:szCs w:val="28"/>
        </w:rPr>
        <w:t xml:space="preserve"> что на 327,3 рублей, или </w:t>
      </w:r>
      <w:r>
        <w:rPr>
          <w:sz w:val="28"/>
          <w:szCs w:val="28"/>
        </w:rPr>
        <w:lastRenderedPageBreak/>
        <w:t>на 1,7 %</w:t>
      </w:r>
      <w:r w:rsidR="00530492">
        <w:rPr>
          <w:sz w:val="28"/>
          <w:szCs w:val="28"/>
        </w:rPr>
        <w:t>,</w:t>
      </w:r>
      <w:r>
        <w:rPr>
          <w:sz w:val="28"/>
          <w:szCs w:val="28"/>
        </w:rPr>
        <w:t xml:space="preserve"> выше утвержденного. По сравнению с показателем, фактически сложившимся за 2021 год (18 648,3 рублей), рост составил 1 269,0 рублей, или 6,8 %.</w:t>
      </w:r>
    </w:p>
    <w:p w:rsidR="00EA7568" w:rsidRDefault="00EA7568" w:rsidP="00EA7568">
      <w:pPr>
        <w:autoSpaceDE w:val="0"/>
        <w:autoSpaceDN w:val="0"/>
        <w:adjustRightInd w:val="0"/>
        <w:ind w:firstLine="708"/>
        <w:jc w:val="both"/>
        <w:rPr>
          <w:sz w:val="28"/>
          <w:szCs w:val="28"/>
        </w:rPr>
      </w:pPr>
      <w:r>
        <w:rPr>
          <w:sz w:val="28"/>
          <w:szCs w:val="28"/>
        </w:rPr>
        <w:t>Кассовое исполнение медицинскими организациями финансирования оказания медицинской помощи по выполнению территориальной программы ОМС составило в сумме 36 609,7 млн рублей, что выше уровня прошлого года на 7,3 %, или на 2 503,8 млн рублей. Исполнено на 102,0 % к утвержденному значению (35 887,2 млн рублей).</w:t>
      </w:r>
    </w:p>
    <w:p w:rsidR="00EA7568" w:rsidRDefault="00EA7568" w:rsidP="00530492">
      <w:pPr>
        <w:autoSpaceDE w:val="0"/>
        <w:autoSpaceDN w:val="0"/>
        <w:adjustRightInd w:val="0"/>
        <w:ind w:firstLine="708"/>
        <w:jc w:val="both"/>
        <w:rPr>
          <w:sz w:val="28"/>
          <w:szCs w:val="28"/>
        </w:rPr>
      </w:pPr>
      <w:r>
        <w:rPr>
          <w:sz w:val="28"/>
          <w:szCs w:val="28"/>
        </w:rPr>
        <w:t>Исполнение территориальной программы ОМС оценивалось Контрольно-счетной палатой по данным формы № 62, и результаты анализа показали рост объемов медицинской помощи за 2022 год по отношению к 2021 году в основном по всем условиям оказания</w:t>
      </w:r>
      <w:r w:rsidR="00530492">
        <w:rPr>
          <w:sz w:val="28"/>
          <w:szCs w:val="28"/>
        </w:rPr>
        <w:t>.</w:t>
      </w:r>
      <w:r>
        <w:rPr>
          <w:sz w:val="28"/>
          <w:szCs w:val="28"/>
        </w:rPr>
        <w:t xml:space="preserve"> </w:t>
      </w:r>
    </w:p>
    <w:p w:rsidR="00EA7568" w:rsidRDefault="00EA7568" w:rsidP="00EA7568">
      <w:pPr>
        <w:autoSpaceDE w:val="0"/>
        <w:autoSpaceDN w:val="0"/>
        <w:adjustRightInd w:val="0"/>
        <w:ind w:firstLine="708"/>
        <w:jc w:val="both"/>
        <w:rPr>
          <w:sz w:val="28"/>
          <w:szCs w:val="28"/>
        </w:rPr>
      </w:pPr>
      <w:r>
        <w:rPr>
          <w:sz w:val="28"/>
          <w:szCs w:val="28"/>
        </w:rPr>
        <w:t>Неисполнение в 2022 году плановых объемов медицинской помощи сложилось по следующим условиям ее оказания:</w:t>
      </w:r>
    </w:p>
    <w:p w:rsidR="00EA7568" w:rsidRDefault="00EA7568" w:rsidP="00EA7568">
      <w:pPr>
        <w:autoSpaceDE w:val="0"/>
        <w:autoSpaceDN w:val="0"/>
        <w:adjustRightInd w:val="0"/>
        <w:ind w:firstLine="709"/>
        <w:jc w:val="both"/>
        <w:rPr>
          <w:sz w:val="28"/>
          <w:szCs w:val="28"/>
        </w:rPr>
      </w:pPr>
      <w:r>
        <w:rPr>
          <w:sz w:val="28"/>
          <w:szCs w:val="28"/>
        </w:rPr>
        <w:t>по скорой медицинской помощи</w:t>
      </w:r>
      <w:r w:rsidR="00530492">
        <w:rPr>
          <w:sz w:val="28"/>
          <w:szCs w:val="28"/>
        </w:rPr>
        <w:t>;</w:t>
      </w:r>
      <w:r>
        <w:rPr>
          <w:sz w:val="28"/>
          <w:szCs w:val="28"/>
        </w:rPr>
        <w:t xml:space="preserve"> </w:t>
      </w:r>
    </w:p>
    <w:p w:rsidR="00EA7568" w:rsidRDefault="00EA7568" w:rsidP="00EA7568">
      <w:pPr>
        <w:autoSpaceDE w:val="0"/>
        <w:autoSpaceDN w:val="0"/>
        <w:adjustRightInd w:val="0"/>
        <w:ind w:firstLine="709"/>
        <w:jc w:val="both"/>
        <w:rPr>
          <w:sz w:val="28"/>
          <w:szCs w:val="28"/>
        </w:rPr>
      </w:pPr>
      <w:r>
        <w:rPr>
          <w:sz w:val="28"/>
          <w:szCs w:val="28"/>
        </w:rPr>
        <w:t xml:space="preserve">по амбулаторной помощи по посещениям в неотложной форме;  </w:t>
      </w:r>
    </w:p>
    <w:p w:rsidR="00EA7568" w:rsidRDefault="00EA7568" w:rsidP="00EA7568">
      <w:pPr>
        <w:autoSpaceDE w:val="0"/>
        <w:autoSpaceDN w:val="0"/>
        <w:adjustRightInd w:val="0"/>
        <w:ind w:firstLine="708"/>
        <w:jc w:val="both"/>
        <w:rPr>
          <w:sz w:val="28"/>
          <w:szCs w:val="28"/>
        </w:rPr>
      </w:pPr>
      <w:r>
        <w:rPr>
          <w:sz w:val="28"/>
          <w:szCs w:val="28"/>
        </w:rPr>
        <w:t>по круглосуточному стационару;</w:t>
      </w:r>
    </w:p>
    <w:p w:rsidR="00EA7568" w:rsidRDefault="00EA7568" w:rsidP="00EA7568">
      <w:pPr>
        <w:autoSpaceDE w:val="0"/>
        <w:autoSpaceDN w:val="0"/>
        <w:adjustRightInd w:val="0"/>
        <w:ind w:firstLine="708"/>
        <w:jc w:val="both"/>
        <w:rPr>
          <w:sz w:val="28"/>
          <w:szCs w:val="28"/>
        </w:rPr>
      </w:pPr>
      <w:r>
        <w:rPr>
          <w:sz w:val="28"/>
          <w:szCs w:val="28"/>
        </w:rPr>
        <w:t>по дневному стационару.</w:t>
      </w:r>
    </w:p>
    <w:p w:rsidR="00EA7568" w:rsidRDefault="00EA7568" w:rsidP="00EA7568">
      <w:pPr>
        <w:ind w:firstLine="708"/>
        <w:jc w:val="both"/>
        <w:rPr>
          <w:sz w:val="28"/>
          <w:szCs w:val="28"/>
        </w:rPr>
      </w:pPr>
      <w:r>
        <w:rPr>
          <w:sz w:val="28"/>
          <w:szCs w:val="28"/>
        </w:rPr>
        <w:t xml:space="preserve">Контрольно-счетной палатой проведено экспертно-аналитическое мероприятие </w:t>
      </w:r>
      <w:r w:rsidR="00EE48F7">
        <w:rPr>
          <w:sz w:val="28"/>
          <w:szCs w:val="28"/>
        </w:rPr>
        <w:t>"</w:t>
      </w:r>
      <w:r>
        <w:rPr>
          <w:sz w:val="28"/>
          <w:szCs w:val="28"/>
        </w:rPr>
        <w:t xml:space="preserve">Анализ выполнения объемов и финансового обеспечения оказания медицинской помощи, оценка мер по обеспечению доступности медицинской помощи по профилю </w:t>
      </w:r>
      <w:r w:rsidR="00EE48F7">
        <w:rPr>
          <w:sz w:val="28"/>
          <w:szCs w:val="28"/>
        </w:rPr>
        <w:t>"</w:t>
      </w:r>
      <w:r>
        <w:rPr>
          <w:sz w:val="28"/>
          <w:szCs w:val="28"/>
        </w:rPr>
        <w:t>Медицинская реабилитация</w:t>
      </w:r>
      <w:r w:rsidR="00EE48F7">
        <w:rPr>
          <w:sz w:val="28"/>
          <w:szCs w:val="28"/>
        </w:rPr>
        <w:t>"</w:t>
      </w:r>
      <w:r>
        <w:rPr>
          <w:sz w:val="28"/>
          <w:szCs w:val="28"/>
        </w:rPr>
        <w:t xml:space="preserve"> за счет средств ОМС</w:t>
      </w:r>
      <w:r w:rsidR="00EE48F7">
        <w:rPr>
          <w:sz w:val="28"/>
          <w:szCs w:val="28"/>
        </w:rPr>
        <w:t>,</w:t>
      </w:r>
      <w:r>
        <w:rPr>
          <w:sz w:val="28"/>
          <w:szCs w:val="28"/>
        </w:rPr>
        <w:t xml:space="preserve"> в том числе в медицинских организациях Приморского края за 2019 – 2022 годы, текущий период 2023 года, результаты которого показали положительные результаты</w:t>
      </w:r>
      <w:r w:rsidR="00EE48F7">
        <w:rPr>
          <w:sz w:val="28"/>
          <w:szCs w:val="28"/>
        </w:rPr>
        <w:t xml:space="preserve">. </w:t>
      </w:r>
    </w:p>
    <w:p w:rsidR="00EA7568" w:rsidRDefault="00EE48F7" w:rsidP="00EE48F7">
      <w:pPr>
        <w:ind w:firstLine="708"/>
        <w:jc w:val="both"/>
        <w:rPr>
          <w:sz w:val="28"/>
          <w:szCs w:val="28"/>
        </w:rPr>
      </w:pPr>
      <w:r>
        <w:rPr>
          <w:sz w:val="28"/>
          <w:szCs w:val="28"/>
        </w:rPr>
        <w:t xml:space="preserve">Так, </w:t>
      </w:r>
      <w:r w:rsidR="00EA7568">
        <w:rPr>
          <w:sz w:val="28"/>
          <w:szCs w:val="28"/>
        </w:rPr>
        <w:t xml:space="preserve">на территории Приморского края медицинскую помощь по профилю </w:t>
      </w:r>
      <w:r>
        <w:rPr>
          <w:sz w:val="28"/>
          <w:szCs w:val="28"/>
        </w:rPr>
        <w:t>"</w:t>
      </w:r>
      <w:r w:rsidR="00EA7568">
        <w:rPr>
          <w:sz w:val="28"/>
          <w:szCs w:val="28"/>
        </w:rPr>
        <w:t>медицинская реабилитация</w:t>
      </w:r>
      <w:r>
        <w:rPr>
          <w:sz w:val="28"/>
          <w:szCs w:val="28"/>
        </w:rPr>
        <w:t>"</w:t>
      </w:r>
      <w:r w:rsidR="00EA7568">
        <w:rPr>
          <w:sz w:val="28"/>
          <w:szCs w:val="28"/>
        </w:rPr>
        <w:t xml:space="preserve"> в 2023 году оказывают 18 организаций, включая</w:t>
      </w:r>
      <w:r>
        <w:rPr>
          <w:sz w:val="28"/>
          <w:szCs w:val="28"/>
        </w:rPr>
        <w:t xml:space="preserve"> 13 </w:t>
      </w:r>
      <w:r w:rsidR="00EA7568">
        <w:rPr>
          <w:sz w:val="28"/>
          <w:szCs w:val="28"/>
        </w:rPr>
        <w:t>государственны</w:t>
      </w:r>
      <w:r>
        <w:rPr>
          <w:sz w:val="28"/>
          <w:szCs w:val="28"/>
        </w:rPr>
        <w:t>х</w:t>
      </w:r>
      <w:r w:rsidR="00EA7568">
        <w:rPr>
          <w:sz w:val="28"/>
          <w:szCs w:val="28"/>
        </w:rPr>
        <w:t xml:space="preserve"> учреждени</w:t>
      </w:r>
      <w:r>
        <w:rPr>
          <w:sz w:val="28"/>
          <w:szCs w:val="28"/>
        </w:rPr>
        <w:t>й</w:t>
      </w:r>
      <w:r w:rsidR="00EA7568">
        <w:rPr>
          <w:sz w:val="28"/>
          <w:szCs w:val="28"/>
        </w:rPr>
        <w:t xml:space="preserve"> и 5 разной формы собственности</w:t>
      </w:r>
      <w:r>
        <w:rPr>
          <w:sz w:val="28"/>
          <w:szCs w:val="28"/>
        </w:rPr>
        <w:t>.</w:t>
      </w:r>
      <w:r w:rsidR="00EA7568">
        <w:rPr>
          <w:sz w:val="28"/>
          <w:szCs w:val="28"/>
        </w:rPr>
        <w:t xml:space="preserve">  </w:t>
      </w:r>
      <w:r>
        <w:rPr>
          <w:sz w:val="28"/>
          <w:szCs w:val="28"/>
        </w:rPr>
        <w:t>И</w:t>
      </w:r>
      <w:r w:rsidR="00EA7568">
        <w:rPr>
          <w:sz w:val="28"/>
          <w:szCs w:val="28"/>
        </w:rPr>
        <w:t>х количество выросло по сравнению с 2019 годом в 4,5 раза</w:t>
      </w:r>
      <w:r>
        <w:rPr>
          <w:sz w:val="28"/>
          <w:szCs w:val="28"/>
        </w:rPr>
        <w:t>. В</w:t>
      </w:r>
      <w:r w:rsidR="00EA7568">
        <w:rPr>
          <w:sz w:val="28"/>
          <w:szCs w:val="28"/>
        </w:rPr>
        <w:t xml:space="preserve"> 2022 году объемы медицинской помощи по профилю </w:t>
      </w:r>
      <w:r>
        <w:rPr>
          <w:sz w:val="28"/>
          <w:szCs w:val="28"/>
        </w:rPr>
        <w:t>"</w:t>
      </w:r>
      <w:r w:rsidR="00EA7568">
        <w:rPr>
          <w:sz w:val="28"/>
          <w:szCs w:val="28"/>
        </w:rPr>
        <w:t>медицинская реабилитация</w:t>
      </w:r>
      <w:r>
        <w:rPr>
          <w:sz w:val="28"/>
          <w:szCs w:val="28"/>
        </w:rPr>
        <w:t>"</w:t>
      </w:r>
      <w:r w:rsidR="00EA7568">
        <w:rPr>
          <w:sz w:val="28"/>
          <w:szCs w:val="28"/>
        </w:rPr>
        <w:t xml:space="preserve"> в амбулаторных условиях выполнены на 98,4 %, оплачено 5 218 комплексных посещений на общую сумму 128,7 млн рублей</w:t>
      </w:r>
      <w:r>
        <w:rPr>
          <w:sz w:val="28"/>
          <w:szCs w:val="28"/>
        </w:rPr>
        <w:t>. В</w:t>
      </w:r>
      <w:r w:rsidR="00EA7568">
        <w:rPr>
          <w:sz w:val="28"/>
          <w:szCs w:val="28"/>
        </w:rPr>
        <w:t xml:space="preserve"> рамках федерального проекта </w:t>
      </w:r>
      <w:r>
        <w:rPr>
          <w:sz w:val="28"/>
          <w:szCs w:val="28"/>
        </w:rPr>
        <w:t>"</w:t>
      </w:r>
      <w:r w:rsidR="00EA7568">
        <w:rPr>
          <w:sz w:val="28"/>
          <w:szCs w:val="28"/>
        </w:rPr>
        <w:t>Оптимальная для восстановления здоровья медицинская реабилитация</w:t>
      </w:r>
      <w:r>
        <w:rPr>
          <w:sz w:val="28"/>
          <w:szCs w:val="28"/>
        </w:rPr>
        <w:t>"</w:t>
      </w:r>
      <w:r w:rsidR="00EA7568">
        <w:rPr>
          <w:sz w:val="28"/>
          <w:szCs w:val="28"/>
        </w:rPr>
        <w:t xml:space="preserve"> два учреждения оснащены медицинским оборудованием на общую сумму 52,7</w:t>
      </w:r>
      <w:r>
        <w:rPr>
          <w:sz w:val="28"/>
          <w:szCs w:val="28"/>
        </w:rPr>
        <w:t> </w:t>
      </w:r>
      <w:r w:rsidR="00EA7568">
        <w:rPr>
          <w:sz w:val="28"/>
          <w:szCs w:val="28"/>
        </w:rPr>
        <w:t>млн рублей</w:t>
      </w:r>
      <w:r>
        <w:rPr>
          <w:sz w:val="28"/>
          <w:szCs w:val="28"/>
        </w:rPr>
        <w:t xml:space="preserve">, это </w:t>
      </w:r>
      <w:r w:rsidR="00EA7568">
        <w:rPr>
          <w:sz w:val="28"/>
          <w:szCs w:val="28"/>
        </w:rPr>
        <w:t xml:space="preserve">ГАУЗ </w:t>
      </w:r>
      <w:r>
        <w:rPr>
          <w:sz w:val="28"/>
          <w:szCs w:val="28"/>
        </w:rPr>
        <w:t>"</w:t>
      </w:r>
      <w:r w:rsidR="00EA7568">
        <w:rPr>
          <w:sz w:val="28"/>
          <w:szCs w:val="28"/>
        </w:rPr>
        <w:t xml:space="preserve">Краевой клинический центр </w:t>
      </w:r>
      <w:r>
        <w:rPr>
          <w:sz w:val="28"/>
          <w:szCs w:val="28"/>
        </w:rPr>
        <w:t>специализированных видов помощи"</w:t>
      </w:r>
      <w:r w:rsidR="00EA7568">
        <w:rPr>
          <w:sz w:val="28"/>
          <w:szCs w:val="28"/>
        </w:rPr>
        <w:t xml:space="preserve"> и КБУЗ </w:t>
      </w:r>
      <w:r>
        <w:rPr>
          <w:sz w:val="28"/>
          <w:szCs w:val="28"/>
        </w:rPr>
        <w:t>"</w:t>
      </w:r>
      <w:r w:rsidR="00EA7568">
        <w:rPr>
          <w:sz w:val="28"/>
          <w:szCs w:val="28"/>
        </w:rPr>
        <w:t>Владивостокская больница № 4</w:t>
      </w:r>
      <w:r>
        <w:rPr>
          <w:sz w:val="28"/>
          <w:szCs w:val="28"/>
        </w:rPr>
        <w:t>"</w:t>
      </w:r>
      <w:r w:rsidR="00EA7568">
        <w:rPr>
          <w:sz w:val="28"/>
          <w:szCs w:val="28"/>
        </w:rPr>
        <w:t xml:space="preserve">. Реабилитационное оборудование в учреждениях введено в эксплуатацию своевременно, фактов неиспользования не установлено. </w:t>
      </w:r>
    </w:p>
    <w:p w:rsidR="00EA7568" w:rsidRDefault="00EA7568" w:rsidP="00EE48F7">
      <w:pPr>
        <w:ind w:firstLine="708"/>
        <w:jc w:val="both"/>
        <w:rPr>
          <w:rFonts w:ascii="Times New Roman CYR" w:hAnsi="Times New Roman CYR" w:cs="Times New Roman CYR"/>
          <w:b/>
          <w:sz w:val="28"/>
          <w:szCs w:val="28"/>
        </w:rPr>
      </w:pPr>
      <w:r>
        <w:rPr>
          <w:sz w:val="28"/>
          <w:szCs w:val="28"/>
        </w:rPr>
        <w:t>Контрольно-счетная палата по результатам внешней проверки отчета об исполнении бюджета ТФОМС за 2022 год полагает возможным его рассмотрение на заседании Законодательного Собрания Приморского края.</w:t>
      </w:r>
    </w:p>
    <w:sectPr w:rsidR="00EA7568" w:rsidSect="00FD4F0B">
      <w:headerReference w:type="default" r:id="rId6"/>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68" w:rsidRDefault="00EA7568" w:rsidP="00EA7568">
      <w:r>
        <w:separator/>
      </w:r>
    </w:p>
  </w:endnote>
  <w:endnote w:type="continuationSeparator" w:id="0">
    <w:p w:rsidR="00EA7568" w:rsidRDefault="00EA7568" w:rsidP="00EA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68" w:rsidRDefault="00EA7568" w:rsidP="00EA7568">
      <w:r>
        <w:separator/>
      </w:r>
    </w:p>
  </w:footnote>
  <w:footnote w:type="continuationSeparator" w:id="0">
    <w:p w:rsidR="00EA7568" w:rsidRDefault="00EA7568" w:rsidP="00EA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592885"/>
      <w:docPartObj>
        <w:docPartGallery w:val="Page Numbers (Top of Page)"/>
        <w:docPartUnique/>
      </w:docPartObj>
    </w:sdtPr>
    <w:sdtEndPr/>
    <w:sdtContent>
      <w:p w:rsidR="00FD4F0B" w:rsidRDefault="00FD4F0B">
        <w:pPr>
          <w:pStyle w:val="a6"/>
          <w:jc w:val="center"/>
        </w:pPr>
        <w:r>
          <w:fldChar w:fldCharType="begin"/>
        </w:r>
        <w:r>
          <w:instrText>PAGE   \* MERGEFORMAT</w:instrText>
        </w:r>
        <w:r>
          <w:fldChar w:fldCharType="separate"/>
        </w:r>
        <w:r w:rsidR="00510A70">
          <w:rPr>
            <w:noProof/>
          </w:rPr>
          <w:t>3</w:t>
        </w:r>
        <w:r>
          <w:fldChar w:fldCharType="end"/>
        </w:r>
      </w:p>
    </w:sdtContent>
  </w:sdt>
  <w:p w:rsidR="00FD4F0B" w:rsidRDefault="00FD4F0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E5"/>
    <w:rsid w:val="002815AC"/>
    <w:rsid w:val="003972C7"/>
    <w:rsid w:val="00510A70"/>
    <w:rsid w:val="00530492"/>
    <w:rsid w:val="00CC07E5"/>
    <w:rsid w:val="00EA7568"/>
    <w:rsid w:val="00EE48F7"/>
    <w:rsid w:val="00FD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C1D7D-0D44-4C12-871C-6DD47D29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4"/>
    <w:uiPriority w:val="99"/>
    <w:semiHidden/>
    <w:qFormat/>
    <w:locked/>
    <w:rsid w:val="00EA7568"/>
  </w:style>
  <w:style w:type="paragraph" w:styleId="a4">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3"/>
    <w:uiPriority w:val="99"/>
    <w:semiHidden/>
    <w:unhideWhenUsed/>
    <w:qFormat/>
    <w:rsid w:val="00EA7568"/>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EA7568"/>
    <w:rPr>
      <w:rFonts w:ascii="Times New Roman" w:eastAsia="Times New Roman" w:hAnsi="Times New Roman" w:cs="Times New Roman"/>
      <w:sz w:val="20"/>
      <w:szCs w:val="20"/>
      <w:lang w:eastAsia="ru-RU"/>
    </w:rPr>
  </w:style>
  <w:style w:type="paragraph" w:customStyle="1" w:styleId="formattext">
    <w:name w:val="formattext"/>
    <w:basedOn w:val="a"/>
    <w:rsid w:val="00EA7568"/>
    <w:pPr>
      <w:spacing w:before="100" w:beforeAutospacing="1" w:after="100" w:afterAutospacing="1"/>
      <w:jc w:val="center"/>
    </w:pPr>
  </w:style>
  <w:style w:type="character" w:styleId="a5">
    <w:name w:val="footnote reference"/>
    <w:aliases w:val="Знак сноски 1,Знак сноски-FN,Ciae niinee-FN,Referencia nota al pie,Ссылка на сноску 45,Appel note de bas de page,текст сноски"/>
    <w:uiPriority w:val="99"/>
    <w:semiHidden/>
    <w:unhideWhenUsed/>
    <w:rsid w:val="00EA7568"/>
    <w:rPr>
      <w:vertAlign w:val="superscript"/>
    </w:rPr>
  </w:style>
  <w:style w:type="paragraph" w:styleId="a6">
    <w:name w:val="header"/>
    <w:basedOn w:val="a"/>
    <w:link w:val="a7"/>
    <w:uiPriority w:val="99"/>
    <w:unhideWhenUsed/>
    <w:rsid w:val="00FD4F0B"/>
    <w:pPr>
      <w:tabs>
        <w:tab w:val="center" w:pos="4677"/>
        <w:tab w:val="right" w:pos="9355"/>
      </w:tabs>
    </w:pPr>
  </w:style>
  <w:style w:type="character" w:customStyle="1" w:styleId="a7">
    <w:name w:val="Верхний колонтитул Знак"/>
    <w:basedOn w:val="a0"/>
    <w:link w:val="a6"/>
    <w:uiPriority w:val="99"/>
    <w:rsid w:val="00FD4F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D4F0B"/>
    <w:pPr>
      <w:tabs>
        <w:tab w:val="center" w:pos="4677"/>
        <w:tab w:val="right" w:pos="9355"/>
      </w:tabs>
    </w:pPr>
  </w:style>
  <w:style w:type="character" w:customStyle="1" w:styleId="a9">
    <w:name w:val="Нижний колонтитул Знак"/>
    <w:basedOn w:val="a0"/>
    <w:link w:val="a8"/>
    <w:uiPriority w:val="99"/>
    <w:rsid w:val="00FD4F0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D4F0B"/>
    <w:rPr>
      <w:rFonts w:ascii="Segoe UI" w:hAnsi="Segoe UI" w:cs="Segoe UI"/>
      <w:sz w:val="18"/>
      <w:szCs w:val="18"/>
    </w:rPr>
  </w:style>
  <w:style w:type="character" w:customStyle="1" w:styleId="ab">
    <w:name w:val="Текст выноски Знак"/>
    <w:basedOn w:val="a0"/>
    <w:link w:val="aa"/>
    <w:uiPriority w:val="99"/>
    <w:semiHidden/>
    <w:rsid w:val="00FD4F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В. Фефелова</dc:creator>
  <cp:keywords/>
  <dc:description/>
  <cp:lastModifiedBy>Светалана В. Фефелова</cp:lastModifiedBy>
  <cp:revision>5</cp:revision>
  <cp:lastPrinted>2023-05-30T05:19:00Z</cp:lastPrinted>
  <dcterms:created xsi:type="dcterms:W3CDTF">2023-05-30T04:52:00Z</dcterms:created>
  <dcterms:modified xsi:type="dcterms:W3CDTF">2023-05-30T05:56:00Z</dcterms:modified>
</cp:coreProperties>
</file>