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 реализации результатов контрольного мероприятия</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«Проверка расходования бюджетных средств на строительство физкультурно-оздоровительного комплекса в Партизанском городском округе, в том числе проектно-изыскательские работы, в рамках мероприятия «Создание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государственной программы Приморского края</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«Развитие физической культуры и спорта Приморского края»</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Контрольное мероприятие проведено в соответствии с пунктом 2.6.1 Плана работы Контрольно-счетной палаты Приморского края на 2023 год.</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адрес КГКУ «УКС Приморского края» внесено представление об устранении нарушений.</w:t>
      </w:r>
    </w:p>
    <w:p w:rsidR="00000000" w:rsidDel="00000000" w:rsidP="00000000" w:rsidRDefault="00000000" w:rsidRPr="00000000" w14:paraId="00000008">
      <w:pPr>
        <w:spacing w:after="1" w:lineRule="auto"/>
        <w:ind w:firstLine="709"/>
        <w:jc w:val="both"/>
        <w:rPr>
          <w:sz w:val="28"/>
          <w:szCs w:val="28"/>
        </w:rPr>
      </w:pPr>
      <w:r w:rsidDel="00000000" w:rsidR="00000000" w:rsidRPr="00000000">
        <w:rPr>
          <w:sz w:val="28"/>
          <w:szCs w:val="28"/>
          <w:rtl w:val="0"/>
        </w:rPr>
        <w:t xml:space="preserve">В ходе контрольного мероприятия установлено несоблюдение методики расчета начальной (максимальной) цены контракта на выполнение работ по строительству (в том числе проектно-изыскательские работы) физкультурно-оздоровительного комплекса в Партизанском городском округе.</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Контрольно-счетная палата Приморского края направила обращение в министерство государственного финансового контроля Приморского края для принятия мер в соответствии с полномочиями Федерального Закона № 44-ФЗ о контрактной системе.</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обращение Контрольно-счетной палаты Приморского края министерством государственного финансового контроля Приморского края представлен ответ, согласно которому нарушение порядка определения НМЦК является административным правонарушением, за которое предусмотрена ответственность, однако срок привлечения по нарушению уже истек.</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недопущения в дальнейшем нарушений законодательства Российской Федерации в сфере закупок товаров, работ, услуг министерством государственного финансового контроля Приморского края направлено информационное письмо в адрес КГКУ «УКС Приморского края».</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директора КГКУ «УКС Приморского края» поступила информация о принятых мерах: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выставлены требования об оплате пени;</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направлено требование об оплате штрафа в размере 5 572,89 тыс. рублей. Требование направлено в ЕИС, размещено УФК по Приморскому краю в реестре контрактов;</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паспорт объекта приведен в соответствие с СП 48.13330.2019.</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все пункты исполнены. Решением Коллегии представление снято с контроля.</w:t>
      </w:r>
    </w:p>
    <w:sectPr>
      <w:headerReference r:id="rId6" w:type="default"/>
      <w:pgSz w:h="16838" w:w="11906" w:orient="portrait"/>
      <w:pgMar w:bottom="1134" w:top="1134" w:left="1701" w:right="85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ind w:left="3600" w:hanging="360"/>
    </w:pPr>
    <w:rPr>
      <w:b w:val="1"/>
      <w:sz w:val="52"/>
      <w:szCs w:val="52"/>
    </w:rPr>
  </w:style>
  <w:style w:type="paragraph" w:styleId="Heading6">
    <w:name w:val="heading 6"/>
    <w:basedOn w:val="Normal"/>
    <w:next w:val="Normal"/>
    <w:pPr>
      <w:keepNext w:val="1"/>
      <w:ind w:left="4320" w:hanging="360"/>
    </w:pPr>
    <w:rPr>
      <w:sz w:val="28"/>
      <w:szCs w:val="28"/>
    </w:rPr>
  </w:style>
  <w:style w:type="paragraph" w:styleId="Title">
    <w:name w:val="Title"/>
    <w:basedOn w:val="Normal"/>
    <w:next w:val="Normal"/>
    <w:pPr>
      <w:ind w:right="-99"/>
      <w:jc w:val="center"/>
    </w:pP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