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15" w:rsidRPr="001B583C" w:rsidRDefault="00201A9F" w:rsidP="001B583C">
      <w:pPr>
        <w:pStyle w:val="30"/>
        <w:shd w:val="clear" w:color="auto" w:fill="auto"/>
        <w:spacing w:line="480" w:lineRule="exact"/>
        <w:rPr>
          <w:sz w:val="28"/>
          <w:szCs w:val="28"/>
        </w:rPr>
      </w:pPr>
      <w:r w:rsidRPr="001B583C">
        <w:rPr>
          <w:sz w:val="28"/>
          <w:szCs w:val="28"/>
        </w:rPr>
        <w:t>Тема: «Проблемы проведения аудита эффективности использования государственных и муниципальных средств»</w:t>
      </w:r>
    </w:p>
    <w:p w:rsidR="00925515" w:rsidRPr="001B583C" w:rsidRDefault="001B583C" w:rsidP="001B583C">
      <w:pPr>
        <w:pStyle w:val="20"/>
        <w:shd w:val="clear" w:color="auto" w:fill="auto"/>
        <w:spacing w:line="480" w:lineRule="exact"/>
        <w:ind w:firstLine="360"/>
      </w:pPr>
      <w:r w:rsidRPr="001B583C">
        <w:t>Н</w:t>
      </w:r>
      <w:r w:rsidR="00201A9F" w:rsidRPr="001B583C">
        <w:t>а сегодняшний день тема о внедрении аудита эффективности использования государственных и муниципальных средств в практику работы контрольно-счетных органов Российской Федерации остается одной из актуальных, так как аудит эффективности позволяет в полной мере реализовать основную цель государственного финансового контроля - повышение результативности использования государственных и муниципальных средств.</w:t>
      </w:r>
    </w:p>
    <w:p w:rsidR="00925515" w:rsidRPr="001B583C" w:rsidRDefault="00201A9F" w:rsidP="001B583C">
      <w:pPr>
        <w:pStyle w:val="20"/>
        <w:shd w:val="clear" w:color="auto" w:fill="auto"/>
        <w:spacing w:line="480" w:lineRule="exact"/>
        <w:ind w:firstLine="360"/>
      </w:pPr>
      <w:r w:rsidRPr="001B583C">
        <w:t xml:space="preserve">Внедрение аудита эффективности в практику работы контрольно-счетных органов Российской Федерации связано с необходимостью существенного </w:t>
      </w:r>
      <w:r w:rsidRPr="001B583C">
        <w:rPr>
          <w:rStyle w:val="213pt"/>
          <w:sz w:val="28"/>
          <w:szCs w:val="28"/>
        </w:rPr>
        <w:t xml:space="preserve">улучшения </w:t>
      </w:r>
      <w:r w:rsidRPr="001B583C">
        <w:t>деятельности исполнительных органов власти и иных организаций, использующих государственные и муниципальные средства.</w:t>
      </w:r>
    </w:p>
    <w:p w:rsidR="00925515" w:rsidRPr="001B583C" w:rsidRDefault="00201A9F" w:rsidP="001B583C">
      <w:pPr>
        <w:pStyle w:val="20"/>
        <w:shd w:val="clear" w:color="auto" w:fill="auto"/>
        <w:spacing w:line="480" w:lineRule="exact"/>
        <w:ind w:firstLine="360"/>
      </w:pPr>
      <w:r w:rsidRPr="001B583C">
        <w:t>Несмотря на то, что определение эффективности использования средств входило в перечень основных задач Счетной палаты Российской Федерации, контрольно-счетных органов субъектов РФ и муниципальных образований, федеральным законодательством до недавнего времени не было установлено прямых полномочий по проведению аудита эффективности. После принятия Федерального закона от 23 июля 2013 г. № 252-ФЗ «О внесении изменений в Бюджетный кодекс Российской Федерации и отдельные законодательные акты Российской Федерации» статья 157 изложена в новой редакции, в результате чего Счетная палата Российской Федерации, контрольно-счетные органы субъектов Российской Федерации и муниципальных образований наделены бюджетными полномочиями по аудиту эффективности, направленному на определение экономности и результативности использования бюджетных средств. Таким образом, аудит эффективности получил правовое закрепление,</w:t>
      </w:r>
    </w:p>
    <w:p w:rsidR="00925515" w:rsidRPr="001B583C" w:rsidRDefault="00201A9F" w:rsidP="001B583C">
      <w:pPr>
        <w:pStyle w:val="20"/>
        <w:shd w:val="clear" w:color="auto" w:fill="auto"/>
        <w:spacing w:line="461" w:lineRule="exact"/>
        <w:ind w:firstLine="360"/>
      </w:pPr>
      <w:r w:rsidRPr="001B583C">
        <w:t>При этом, необходимо отмет</w:t>
      </w:r>
      <w:r w:rsidR="001B583C">
        <w:t>ить, что указанные изменения не нашли св</w:t>
      </w:r>
      <w:r w:rsidRPr="001B583C">
        <w:t>оего отражения ни в Федеральном законе от 7 февраля 2011 г. № 6-ФЗ «Об общих</w:t>
      </w:r>
    </w:p>
    <w:p w:rsidR="00925515" w:rsidRPr="001B583C" w:rsidRDefault="00201A9F" w:rsidP="001B583C">
      <w:pPr>
        <w:pStyle w:val="20"/>
        <w:shd w:val="clear" w:color="auto" w:fill="auto"/>
        <w:spacing w:line="485" w:lineRule="exact"/>
      </w:pPr>
      <w:r w:rsidRPr="001B583C">
        <w:t xml:space="preserve">принципах организации и деятельности контрольно-счетных органов субъектов Российской Федерации и муниципальных образований», ни почти во всех региональных законах о контрольно-счетных органах субъектов Дальневосточного </w:t>
      </w:r>
      <w:r w:rsidRPr="001B583C">
        <w:lastRenderedPageBreak/>
        <w:t>федерального округа.</w:t>
      </w:r>
    </w:p>
    <w:p w:rsidR="00925515" w:rsidRPr="001B583C" w:rsidRDefault="00201A9F" w:rsidP="001B583C">
      <w:pPr>
        <w:pStyle w:val="20"/>
        <w:shd w:val="clear" w:color="auto" w:fill="auto"/>
        <w:spacing w:line="485" w:lineRule="exact"/>
        <w:ind w:firstLine="360"/>
      </w:pPr>
      <w:r w:rsidRPr="001B583C">
        <w:t>Вопросы аудита эффективности в течение последних 5 лет неоднократно становились предметом обсуждения на различных совещаниях и конференциях контрольно-счетных органов, но до сих пор нет единообразия в понимании его содержания и основных правил проведения. На наш взгляд, внедрение аудита эффективности государственных и муниципальных средств существенно замедляется в связи с недостаточностью методической базы, так как в целом разработка его методологии предоставляется гораздо более сложной задачей.</w:t>
      </w:r>
    </w:p>
    <w:p w:rsidR="00925515" w:rsidRPr="001B583C" w:rsidRDefault="00201A9F" w:rsidP="001B583C">
      <w:pPr>
        <w:pStyle w:val="20"/>
        <w:shd w:val="clear" w:color="auto" w:fill="auto"/>
        <w:spacing w:line="485" w:lineRule="exact"/>
        <w:ind w:firstLine="360"/>
      </w:pPr>
      <w:r w:rsidRPr="001B583C">
        <w:t>В Счетной палате РФ и значительном количестве КСО субъектов разработаны стандарты проведения аудита эффективности, существует определенный опыт проведения аудитов в социально-значимых сферах расходов. В то же время возникают проблемы при выборе целей, вопросов и, самое главное - критериев оценки эффективности использования бюджетных средств. Существует потребность в выработке единых подходов к выбору критериев оценки эффективности бюджетных расходов, а также к порядку их применения для различных отраслей и видов расходов.</w:t>
      </w:r>
    </w:p>
    <w:p w:rsidR="00925515" w:rsidRPr="001B583C" w:rsidRDefault="00201A9F" w:rsidP="001B583C">
      <w:pPr>
        <w:pStyle w:val="20"/>
        <w:shd w:val="clear" w:color="auto" w:fill="auto"/>
        <w:spacing w:line="480" w:lineRule="exact"/>
        <w:ind w:firstLine="360"/>
      </w:pPr>
      <w:r w:rsidRPr="001B583C">
        <w:t>Мониторинг информации об аудитах, проведенных КСО Дальневосточного Федерального округа за последние 3 года, размещенной на сайтах КСО, показал, во-первых, незначительное количество «чистых» аудитов (в основном, проводятся контрольные и экспертно-аналитические мероприятия с элементами аудита) - по одному - двум за 3 года; во-вторых, аудиты проведены либо совместно (параллельно) со Счетной палатой РФ (например, Счетной палатой Чукотского автономного округа в 2013 году проведен параллельно со Счетной палатой РФ аудит эффективности использования государственных средств, направленных на реализацию программы государственных гарантий оказания гражданам Российской Федерации бесплатной медицинской помощи за период 2010-2012 гг. на территории Чукотского автономного округа; Контрольно-</w:t>
      </w:r>
      <w:bookmarkStart w:id="0" w:name="_GoBack"/>
      <w:bookmarkEnd w:id="0"/>
      <w:r w:rsidRPr="001B583C">
        <w:t xml:space="preserve">счетной палатой Хабаровского края в 2014 году проведено со Счетной палатой Российской Федерации совместное экспертно-аналитическое мероприятие «Мониторинг эффективности предоставления налоговых льгот и преференций и оценка их </w:t>
      </w:r>
      <w:r w:rsidRPr="001B583C">
        <w:lastRenderedPageBreak/>
        <w:t>стимулирующего воздействия на развитие экономики» за периоды 2011-2013 годов» с использованием элементов аудита эффективности) или на основе опыта Счетной палаты РФ.</w:t>
      </w:r>
    </w:p>
    <w:p w:rsidR="00925515" w:rsidRPr="001B583C" w:rsidRDefault="00201A9F" w:rsidP="001B583C">
      <w:pPr>
        <w:pStyle w:val="20"/>
        <w:shd w:val="clear" w:color="auto" w:fill="auto"/>
        <w:spacing w:line="475" w:lineRule="exact"/>
        <w:ind w:firstLine="360"/>
      </w:pPr>
      <w:r w:rsidRPr="001B583C">
        <w:t>Контрольно-счетной палатой Камчатского края в 2014 году проведен аудит эффективности и результативности использования бюджетных средств, направленных па реализацию комплекса мер по модернизации региональных систем общего образования в 2011-2013 годах, в основу которого положена практика проведения соответствующего аудита Счетной палаты РФ (использованы критерии и методика проведения).</w:t>
      </w:r>
    </w:p>
    <w:p w:rsidR="00925515" w:rsidRPr="001B583C" w:rsidRDefault="00201A9F" w:rsidP="001B583C">
      <w:pPr>
        <w:pStyle w:val="20"/>
        <w:shd w:val="clear" w:color="auto" w:fill="auto"/>
        <w:spacing w:line="475" w:lineRule="exact"/>
        <w:ind w:firstLine="360"/>
      </w:pPr>
      <w:r w:rsidRPr="001B583C">
        <w:t>Также необходимо отметить еще одну немаловажную проблему проведения аудитов эффективности - значительный временной промежуток проведения аудита Так как для проведения аудита эффективности, как правило, выбираются наиболее общественно значимые и крупные сферы расходования государственных и муниципальных средств, аудит эффективности требуется большее количество времени и затрат, имеет наиболее сложный порядок проведения, по сравнению с проверками законности и результативности использования государственных и муниципальных средств. Кроме того, при проведении аудита эффективности использования государственных и муниципальных средств сначала посредством анализа осуществляется качественная, а затем и количественная оценка социально-экономического процесса в длительном временном диапазоне (два года, три года, пять лет).</w:t>
      </w:r>
    </w:p>
    <w:p w:rsidR="00925515" w:rsidRPr="001B583C" w:rsidRDefault="00201A9F" w:rsidP="001B583C">
      <w:pPr>
        <w:pStyle w:val="20"/>
        <w:shd w:val="clear" w:color="auto" w:fill="auto"/>
        <w:spacing w:line="475" w:lineRule="exact"/>
        <w:ind w:firstLine="360"/>
      </w:pPr>
      <w:r w:rsidRPr="001B583C">
        <w:t>Также, в отличие от финансового аудита значительную часть времени при проведении аудита эффективности занимает подготовительный этап. В ходе предварительного изучения предмета аудита необходимо понять отраслевые проблемы и оценить, в какой мере проводимый аудит эффективности может помочь в их решении. От того четко и правильно ли будет сформированы цели финансового аудита, критерии оценки и вопросы, обозначенные в соответствии с поставленными целями, напрямую зависит результат аудита.</w:t>
      </w:r>
    </w:p>
    <w:p w:rsidR="00925515" w:rsidRPr="001B583C" w:rsidRDefault="00201A9F" w:rsidP="001B583C">
      <w:pPr>
        <w:pStyle w:val="20"/>
        <w:shd w:val="clear" w:color="auto" w:fill="auto"/>
        <w:spacing w:line="485" w:lineRule="exact"/>
        <w:ind w:firstLine="360"/>
      </w:pPr>
      <w:r w:rsidRPr="001B583C">
        <w:t xml:space="preserve">Нельзя не отметить как негативный фактор при проведении аудитов эффективности отвлечение трудовых ресурсов, которое в условиях значительного </w:t>
      </w:r>
      <w:r w:rsidRPr="001B583C">
        <w:lastRenderedPageBreak/>
        <w:t>количества полномочий контрольно-счетного органа, ощутимо, особенно в малочисленных органах финансового контроля.</w:t>
      </w:r>
    </w:p>
    <w:p w:rsidR="00925515" w:rsidRPr="001B583C" w:rsidRDefault="00201A9F" w:rsidP="001B583C">
      <w:pPr>
        <w:pStyle w:val="20"/>
        <w:shd w:val="clear" w:color="auto" w:fill="auto"/>
        <w:spacing w:line="480" w:lineRule="exact"/>
        <w:ind w:firstLine="360"/>
      </w:pPr>
      <w:r w:rsidRPr="001B583C">
        <w:t>Для объективности выводов и заключений контрольно-счетных органов к проведению аудита эффективности целесообразно привлекать независимых экспертов, обладающих профессиональными знаниями в области, определенной темой аудита эффективности. При формулировании выводов об эффективном или неэффективном использования государственных средств их мнение должно быть решающим. Следовательно, в смете контрольно-счетных органов целесообразно учесть дополнительные расходы на привлечение данных экспертов, что зачастую просто невозможно.</w:t>
      </w:r>
    </w:p>
    <w:p w:rsidR="00925515" w:rsidRPr="001B583C" w:rsidRDefault="00201A9F" w:rsidP="001B583C">
      <w:pPr>
        <w:pStyle w:val="20"/>
        <w:shd w:val="clear" w:color="auto" w:fill="auto"/>
        <w:spacing w:line="480" w:lineRule="exact"/>
        <w:ind w:firstLine="360"/>
      </w:pPr>
      <w:r w:rsidRPr="001B583C">
        <w:t>Все выше озвученное свидетельствует о существующих проблемах внедрения полноценного аудита эффективности использования государственных и муниципальных средств в практику работы контрольно-счетных органов Российской Федерации. Вместе с тем, работа по данному направлению ведется - Контрольно-счетной палатой Камчатского края проводятся контрольные мероприятия с элементами аудита эффективности.</w:t>
      </w:r>
    </w:p>
    <w:p w:rsidR="00925515" w:rsidRPr="001B583C" w:rsidRDefault="00201A9F" w:rsidP="001B583C">
      <w:pPr>
        <w:pStyle w:val="20"/>
        <w:shd w:val="clear" w:color="auto" w:fill="auto"/>
        <w:spacing w:line="480" w:lineRule="exact"/>
        <w:ind w:firstLine="360"/>
      </w:pPr>
      <w:r w:rsidRPr="001B583C">
        <w:t>В заключение своего доклада хочу отметить, что говорить о внедрении в практику работы малочисленных контрольно-счетных органов полноценного аудита эффективности еще очень рано. Во-первых, необходимо время для получения практического опыта осуществления такого аудита, чтобы на основе его всестороннего изучения создать теоретическую и методологическую базы его применения (выработать единые подходы к отбору критериев оценки эффективности бюджетных расходов, порядку их применения для различных отраслей и видов расходов). Во-вторых, быстрому внедрению аудита эффективности мешает ограниченность ресурсов контрольно-счетных органов, как трудовых, так и финансовых.</w:t>
      </w:r>
    </w:p>
    <w:sectPr w:rsidR="00925515" w:rsidRPr="001B583C">
      <w:pgSz w:w="11909" w:h="16840"/>
      <w:pgMar w:top="1420" w:right="819" w:bottom="928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9F" w:rsidRDefault="00201A9F">
      <w:r>
        <w:separator/>
      </w:r>
    </w:p>
  </w:endnote>
  <w:endnote w:type="continuationSeparator" w:id="0">
    <w:p w:rsidR="00201A9F" w:rsidRDefault="0020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9F" w:rsidRDefault="00201A9F"/>
  </w:footnote>
  <w:footnote w:type="continuationSeparator" w:id="0">
    <w:p w:rsidR="00201A9F" w:rsidRDefault="00201A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5"/>
    <w:rsid w:val="001B583C"/>
    <w:rsid w:val="00201A9F"/>
    <w:rsid w:val="00426227"/>
    <w:rsid w:val="0092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F10FD-ADD0-41AE-96D3-410EE8B9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1pt">
    <w:name w:val="Основной текст (6) + Интервал 1 pt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18"/>
      <w:szCs w:val="18"/>
      <w:u w:val="none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_"/>
    <w:basedOn w:val="a0"/>
    <w:link w:val="4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TimesNewRoman9pt">
    <w:name w:val="Основной текст (4) + Times New Roman;9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4TimesNewRoman9pt0">
    <w:name w:val="Основной текст (4) + Times New Roman;9 pt;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w w:val="6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20"/>
      <w:w w:val="60"/>
      <w:position w:val="0"/>
      <w:sz w:val="18"/>
      <w:szCs w:val="18"/>
      <w:u w:val="none"/>
      <w:lang w:val="ru-RU" w:eastAsia="ru-RU" w:bidi="ru-RU"/>
    </w:rPr>
  </w:style>
  <w:style w:type="character" w:customStyle="1" w:styleId="9TimesNewRoman95pt-1pt100">
    <w:name w:val="Основной текст (9) + Times New Roman;9;5 pt;Полужирный;Курсив;Интервал -1 pt;Масштаб 100%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ind w:hanging="56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11" w:lineRule="exact"/>
      <w:ind w:hanging="56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Sylfaen" w:eastAsia="Sylfaen" w:hAnsi="Sylfaen" w:cs="Sylfaen"/>
      <w:spacing w:val="20"/>
      <w:w w:val="6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Адушев</dc:creator>
  <cp:lastModifiedBy>Инга В. Солодовник</cp:lastModifiedBy>
  <cp:revision>2</cp:revision>
  <dcterms:created xsi:type="dcterms:W3CDTF">2016-09-28T05:03:00Z</dcterms:created>
  <dcterms:modified xsi:type="dcterms:W3CDTF">2016-09-28T05:03:00Z</dcterms:modified>
</cp:coreProperties>
</file>