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49" w:rsidRPr="0004646E" w:rsidRDefault="006D4C8F" w:rsidP="0004646E">
      <w:pPr>
        <w:pStyle w:val="40"/>
        <w:shd w:val="clear" w:color="auto" w:fill="auto"/>
        <w:rPr>
          <w:sz w:val="28"/>
          <w:szCs w:val="28"/>
        </w:rPr>
      </w:pPr>
      <w:r w:rsidRPr="0004646E">
        <w:rPr>
          <w:sz w:val="28"/>
          <w:szCs w:val="28"/>
        </w:rPr>
        <w:t>Тезисы выступления</w:t>
      </w:r>
      <w:r w:rsidR="0004646E">
        <w:rPr>
          <w:sz w:val="28"/>
          <w:szCs w:val="28"/>
        </w:rPr>
        <w:t xml:space="preserve"> </w:t>
      </w:r>
      <w:r w:rsidRPr="0004646E">
        <w:rPr>
          <w:sz w:val="28"/>
          <w:szCs w:val="28"/>
        </w:rPr>
        <w:t>Председателя Счетной палаты Республики Саха (Якутия)</w:t>
      </w:r>
      <w:r w:rsidR="0004646E">
        <w:rPr>
          <w:sz w:val="28"/>
          <w:szCs w:val="28"/>
        </w:rPr>
        <w:t xml:space="preserve"> </w:t>
      </w:r>
      <w:r w:rsidRPr="0004646E">
        <w:rPr>
          <w:sz w:val="28"/>
          <w:szCs w:val="28"/>
        </w:rPr>
        <w:t>Маркова Е.Е. для участия на круглом столе на тему:</w:t>
      </w:r>
    </w:p>
    <w:p w:rsidR="00BB6549" w:rsidRDefault="006D4C8F" w:rsidP="0004646E">
      <w:pPr>
        <w:pStyle w:val="40"/>
        <w:shd w:val="clear" w:color="auto" w:fill="auto"/>
        <w:rPr>
          <w:sz w:val="28"/>
          <w:szCs w:val="28"/>
        </w:rPr>
      </w:pPr>
      <w:r w:rsidRPr="0004646E">
        <w:rPr>
          <w:sz w:val="28"/>
          <w:szCs w:val="28"/>
        </w:rPr>
        <w:t>«Практика проведения аудита эффективности государственных и муниципальных средств в Дальневосточном Федеральном округе»</w:t>
      </w:r>
    </w:p>
    <w:p w:rsidR="0004646E" w:rsidRPr="0004646E" w:rsidRDefault="0004646E" w:rsidP="0004646E">
      <w:pPr>
        <w:pStyle w:val="40"/>
        <w:shd w:val="clear" w:color="auto" w:fill="auto"/>
        <w:rPr>
          <w:sz w:val="28"/>
          <w:szCs w:val="28"/>
        </w:rPr>
      </w:pPr>
    </w:p>
    <w:p w:rsidR="00BB6549" w:rsidRPr="0004646E" w:rsidRDefault="006D4C8F" w:rsidP="0004646E">
      <w:pPr>
        <w:pStyle w:val="21"/>
        <w:shd w:val="clear" w:color="auto" w:fill="auto"/>
        <w:spacing w:line="379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Согласно статьи 157 Бюджетного кодекса Российской Федерации контрольно-счетные органы субъектов Российской Федерации должны осуществлять бюджетные полномочия по аудиту эффективности, направленное на определение экономности и результативности использования бюджетных средств.</w:t>
      </w:r>
    </w:p>
    <w:p w:rsidR="00BB6549" w:rsidRPr="0004646E" w:rsidRDefault="006D4C8F" w:rsidP="0004646E">
      <w:pPr>
        <w:pStyle w:val="21"/>
        <w:shd w:val="clear" w:color="auto" w:fill="auto"/>
        <w:spacing w:line="379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По Федеральному закону № 6-ФЗ «Об общих принципах организации и деятельности контрольно-счетных органов субъектов Российской Федерации» (ст. 9, п.1, пп.4) одной из полномочий контрольно-счетных органов субъектов Российской Федерации также является «организация и осуществление контроля за законностью, результативностью (эффективностью и экономностью) использования средств бюджета субъекта Российской Федерации».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Как вы знаете, обеспечение законности и эффективности использования государственных средств и государственной собственности — главная цель деятельности органов внешнего государственного финансового контроля. Эта цель закреплена и в Лимской декларации руководящих принципов контроля, и в Федеральном законе «О Счетной палате Российской Федерации», и в законах о контрольно-счетных органах субъектов Российской Федерации.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Согласно документам международных организаций высших органов государственного контроля (ИНТОСАИ, ЕВРОСАИ, АЗОСАИ) к основным вопросам проведения аудита эффективности относятся:</w:t>
      </w:r>
    </w:p>
    <w:p w:rsidR="00BB6549" w:rsidRPr="0004646E" w:rsidRDefault="006D4C8F" w:rsidP="0004646E">
      <w:pPr>
        <w:pStyle w:val="21"/>
        <w:numPr>
          <w:ilvl w:val="0"/>
          <w:numId w:val="1"/>
        </w:numPr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 xml:space="preserve"> экономичность использования ресурсов (приобретение ресурсов в достаточном количестве и нужного качества при минимальных затратах);</w:t>
      </w:r>
    </w:p>
    <w:p w:rsidR="00BB6549" w:rsidRPr="0004646E" w:rsidRDefault="006D4C8F" w:rsidP="0004646E">
      <w:pPr>
        <w:pStyle w:val="21"/>
        <w:numPr>
          <w:ilvl w:val="0"/>
          <w:numId w:val="1"/>
        </w:numPr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 xml:space="preserve"> эффективность использования ресурсов (достижение максимально возможной отдачи от имеющейся в наличии ресурсов для каждого вида деятельности);</w:t>
      </w:r>
    </w:p>
    <w:p w:rsidR="00BB6549" w:rsidRPr="0004646E" w:rsidRDefault="006D4C8F" w:rsidP="0004646E">
      <w:pPr>
        <w:pStyle w:val="21"/>
        <w:numPr>
          <w:ilvl w:val="0"/>
          <w:numId w:val="1"/>
        </w:numPr>
        <w:shd w:val="clear" w:color="auto" w:fill="auto"/>
        <w:tabs>
          <w:tab w:val="left" w:pos="889"/>
        </w:tabs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результативность (соответствие фактических результатов запланированным или иными словами, стремление к тому, чтобы деятельность обеспечивала на выходе ожидаемый результат).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360"/>
        <w:jc w:val="both"/>
        <w:rPr>
          <w:sz w:val="28"/>
          <w:szCs w:val="28"/>
        </w:rPr>
        <w:sectPr w:rsidR="00BB6549" w:rsidRPr="0004646E">
          <w:type w:val="continuous"/>
          <w:pgSz w:w="11909" w:h="16840"/>
          <w:pgMar w:top="1430" w:right="974" w:bottom="1430" w:left="1239" w:header="0" w:footer="3" w:gutter="0"/>
          <w:cols w:space="720"/>
          <w:noEndnote/>
          <w:docGrid w:linePitch="360"/>
        </w:sectPr>
      </w:pPr>
      <w:r w:rsidRPr="0004646E">
        <w:rPr>
          <w:sz w:val="28"/>
          <w:szCs w:val="28"/>
        </w:rPr>
        <w:t>Все эти принципы определены и в Бюджетном кодексе Российской Федерации (в статье 34), в котором говорится, что «при составлении и исполнении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0"/>
        <w:jc w:val="both"/>
        <w:rPr>
          <w:sz w:val="28"/>
          <w:szCs w:val="28"/>
        </w:rPr>
      </w:pPr>
      <w:r w:rsidRPr="0004646E">
        <w:rPr>
          <w:sz w:val="28"/>
          <w:szCs w:val="28"/>
        </w:rPr>
        <w:lastRenderedPageBreak/>
        <w:t>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средств».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Основной задачей аудита эффективности является оказание содействия проверяемым органам исполнительной власти, государственным и иным организациям в повышении эффективности использования ими государственных средств на основе внедрения в их деятельность рекомендаций, разработанных по результатам проведенных проверок. В связи с этим период времени, необходимый для реализации этих рекомендаций, следует также рассматривать в качестве особого этапа аудита эффективности - этап внедрения его результатов.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В рамках построения новой бюджетной системы должны измениться роль и характер деятельности органов внешнего государственного финансового контроля. И если главным критерием успешности работы организации госсектора становится ее результативность с точки зрения решения общественно значимых задач, то контрольные органы должны научиться определять и измерять эту результативность.</w:t>
      </w:r>
    </w:p>
    <w:p w:rsidR="00BB6549" w:rsidRPr="0004646E" w:rsidRDefault="006D4C8F" w:rsidP="0004646E">
      <w:pPr>
        <w:pStyle w:val="21"/>
        <w:shd w:val="clear" w:color="auto" w:fill="auto"/>
        <w:spacing w:line="350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Кратко остановлюсь на работе Счетной палаты республики по данному вопросу.</w:t>
      </w:r>
    </w:p>
    <w:p w:rsidR="00BB6549" w:rsidRPr="0004646E" w:rsidRDefault="006D4C8F" w:rsidP="0004646E">
      <w:pPr>
        <w:pStyle w:val="21"/>
        <w:shd w:val="clear" w:color="auto" w:fill="auto"/>
        <w:spacing w:line="37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Как вы знаете, Счетная палата Республики Саха (Якутия) начала свою деятельность с 2012 года в соответствии с Законом республики «О Счетной палате Республики Саха (Якутия)». И конечно в первые годы своей деятельности, в период становления внешнего государственного контроля мы сконцентрировали свою работу на исполнении основных полномочий палаты.</w:t>
      </w:r>
    </w:p>
    <w:p w:rsidR="00BB6549" w:rsidRPr="0004646E" w:rsidRDefault="006D4C8F" w:rsidP="0004646E">
      <w:pPr>
        <w:pStyle w:val="21"/>
        <w:shd w:val="clear" w:color="auto" w:fill="auto"/>
        <w:spacing w:line="370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За период деятельности Счетной палаты отдельного аудита эффективности, как самостоятельного контрольного мероприятия, нами не проводилось. Но в то же время, обращаясь к отчетности о деятельности Счетной палаты можно констатировать проведение контрольных мероприятий с элементами аудита эффективности.</w:t>
      </w:r>
    </w:p>
    <w:p w:rsidR="00BB6549" w:rsidRPr="0004646E" w:rsidRDefault="006D4C8F" w:rsidP="0004646E">
      <w:pPr>
        <w:pStyle w:val="21"/>
        <w:shd w:val="clear" w:color="auto" w:fill="auto"/>
        <w:spacing w:line="370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 xml:space="preserve">Вместе с тем, за неполные пять лет деятельности Счетной палаты, проверками охвачены все государственные программы и большая часть органов и организаций республики, подпадающих под внешний финансовый контроль. С каждым годом сотрудники и Счетная палата в целом становится опытнее, увеличиваются объемы информации о бюджетном устройстве и бюджетном процессе в республике. Выявив наиболее уязвимые (проблемные) сегменты бюджетных правоотношений, требующих детального анализа и формирования предложений по устранению выявленных нарушений и повышению эффективности, Счетная палата может в ближайшее время приступить к полноценному мероприятию по аудиту </w:t>
      </w:r>
      <w:r w:rsidRPr="0004646E">
        <w:rPr>
          <w:sz w:val="28"/>
          <w:szCs w:val="28"/>
        </w:rPr>
        <w:lastRenderedPageBreak/>
        <w:t>эффективности.</w:t>
      </w:r>
    </w:p>
    <w:p w:rsidR="00BB6549" w:rsidRPr="0004646E" w:rsidRDefault="006D4C8F" w:rsidP="0004646E">
      <w:pPr>
        <w:pStyle w:val="21"/>
        <w:shd w:val="clear" w:color="auto" w:fill="auto"/>
        <w:spacing w:line="38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Таким, образом, уважаемые коллеги, мы пришли к выводу, что аудит эффективности возможно проводить только тогда, когда будут приняты решения на всех уровнях бюджетного процесса, ориентированные на эффективность результатов. Должна появиться непосредственная заинтересованность в этом получателей государственных финансовых средств с одновременным ужесточением ответственности в случае неэффективного управления ими.</w:t>
      </w:r>
    </w:p>
    <w:p w:rsidR="00BB6549" w:rsidRPr="0004646E" w:rsidRDefault="006D4C8F" w:rsidP="0004646E">
      <w:pPr>
        <w:pStyle w:val="21"/>
        <w:shd w:val="clear" w:color="auto" w:fill="auto"/>
        <w:spacing w:line="38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Можно выделить несколько причин недостаточно быстрого внедрения аудита эффективности. Одна из главных причин - недостаточная нормативная и методическая основа для проведения аудита эффективности. Вторая - значительный период времени, который требуется для планирования и проведения аудита эффективности, подготовки рекомендаций, отслеживания хода их выполнения. Третья, причина - это нехватка высококвалифицированных специалистов в области аудита эффективности.</w:t>
      </w:r>
    </w:p>
    <w:p w:rsidR="0004646E" w:rsidRDefault="0004646E" w:rsidP="0004646E">
      <w:pPr>
        <w:pStyle w:val="21"/>
        <w:shd w:val="clear" w:color="auto" w:fill="auto"/>
        <w:spacing w:line="260" w:lineRule="exact"/>
        <w:ind w:firstLine="360"/>
        <w:jc w:val="both"/>
        <w:rPr>
          <w:rStyle w:val="22"/>
          <w:sz w:val="28"/>
          <w:szCs w:val="28"/>
        </w:rPr>
      </w:pPr>
    </w:p>
    <w:p w:rsidR="00BB6549" w:rsidRPr="0004646E" w:rsidRDefault="006D4C8F" w:rsidP="0004646E">
      <w:pPr>
        <w:pStyle w:val="21"/>
        <w:shd w:val="clear" w:color="auto" w:fill="auto"/>
        <w:spacing w:line="260" w:lineRule="exact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04646E">
        <w:rPr>
          <w:rStyle w:val="22"/>
          <w:sz w:val="28"/>
          <w:szCs w:val="28"/>
        </w:rPr>
        <w:t>Предложение:</w:t>
      </w:r>
    </w:p>
    <w:p w:rsidR="00BB6549" w:rsidRPr="0004646E" w:rsidRDefault="006D4C8F" w:rsidP="0004646E">
      <w:pPr>
        <w:pStyle w:val="21"/>
        <w:shd w:val="clear" w:color="auto" w:fill="auto"/>
        <w:spacing w:line="384" w:lineRule="exact"/>
        <w:ind w:firstLine="360"/>
        <w:jc w:val="both"/>
        <w:rPr>
          <w:sz w:val="28"/>
          <w:szCs w:val="28"/>
        </w:rPr>
      </w:pPr>
      <w:r w:rsidRPr="0004646E">
        <w:rPr>
          <w:sz w:val="28"/>
          <w:szCs w:val="28"/>
        </w:rPr>
        <w:t>В целях единого подхода контрольно-счетными органами к проведению мероприятий по аудиту эффективности предлагаю выйти на Совет контрольно</w:t>
      </w:r>
      <w:r w:rsidRPr="0004646E">
        <w:rPr>
          <w:sz w:val="28"/>
          <w:szCs w:val="28"/>
        </w:rPr>
        <w:softHyphen/>
        <w:t>счетных органов при Счетной палате Российской Федерации с предложением о разработке Единой модели стандарта и (или) Методики проведения аудита эффективности использования бюджетных средств.</w:t>
      </w:r>
    </w:p>
    <w:sectPr w:rsidR="00BB6549" w:rsidRPr="0004646E">
      <w:pgSz w:w="11909" w:h="16840"/>
      <w:pgMar w:top="1176" w:right="946" w:bottom="143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8F" w:rsidRDefault="006D4C8F">
      <w:r>
        <w:separator/>
      </w:r>
    </w:p>
  </w:endnote>
  <w:endnote w:type="continuationSeparator" w:id="0">
    <w:p w:rsidR="006D4C8F" w:rsidRDefault="006D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8F" w:rsidRDefault="006D4C8F"/>
  </w:footnote>
  <w:footnote w:type="continuationSeparator" w:id="0">
    <w:p w:rsidR="006D4C8F" w:rsidRDefault="006D4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6979"/>
    <w:multiLevelType w:val="multilevel"/>
    <w:tmpl w:val="18C22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49"/>
    <w:rsid w:val="0004646E"/>
    <w:rsid w:val="006D4C8F"/>
    <w:rsid w:val="00A07A43"/>
    <w:rsid w:val="00B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B063-068D-488A-AFFF-9E33585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Полужирный;Курсив;Интервал 2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36" w:lineRule="exact"/>
      <w:ind w:hanging="1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Адушев</dc:creator>
  <cp:lastModifiedBy>Инга В. Солодовник</cp:lastModifiedBy>
  <cp:revision>2</cp:revision>
  <dcterms:created xsi:type="dcterms:W3CDTF">2016-09-28T05:00:00Z</dcterms:created>
  <dcterms:modified xsi:type="dcterms:W3CDTF">2016-09-28T05:00:00Z</dcterms:modified>
</cp:coreProperties>
</file>